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3178" w14:textId="77777777" w:rsidR="007A5B1C" w:rsidRDefault="007A5B1C">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1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7"/>
        <w:gridCol w:w="1147"/>
        <w:gridCol w:w="190"/>
        <w:gridCol w:w="5072"/>
        <w:gridCol w:w="190"/>
        <w:gridCol w:w="3370"/>
      </w:tblGrid>
      <w:tr w:rsidR="007A5B1C" w14:paraId="60CE8766" w14:textId="77777777">
        <w:trPr>
          <w:jc w:val="center"/>
        </w:trPr>
        <w:tc>
          <w:tcPr>
            <w:tcW w:w="1147" w:type="dxa"/>
            <w:tcBorders>
              <w:top w:val="nil"/>
              <w:left w:val="nil"/>
              <w:bottom w:val="nil"/>
              <w:right w:val="nil"/>
            </w:tcBorders>
          </w:tcPr>
          <w:p w14:paraId="6896A128" w14:textId="77777777" w:rsidR="007A5B1C" w:rsidRDefault="007A5B1C">
            <w:pPr>
              <w:ind w:left="0" w:hanging="2"/>
              <w:jc w:val="center"/>
            </w:pPr>
          </w:p>
        </w:tc>
        <w:tc>
          <w:tcPr>
            <w:tcW w:w="1147" w:type="dxa"/>
            <w:tcBorders>
              <w:top w:val="single" w:sz="4" w:space="0" w:color="000000"/>
              <w:left w:val="nil"/>
              <w:bottom w:val="single" w:sz="4" w:space="0" w:color="000000"/>
              <w:right w:val="nil"/>
            </w:tcBorders>
          </w:tcPr>
          <w:p w14:paraId="75B17031" w14:textId="77777777" w:rsidR="007A5B1C" w:rsidRDefault="00572BDF">
            <w:pPr>
              <w:ind w:left="0" w:hanging="2"/>
              <w:jc w:val="center"/>
            </w:pPr>
            <w:r>
              <w:rPr>
                <w:noProof/>
              </w:rPr>
              <w:drawing>
                <wp:inline distT="0" distB="0" distL="114300" distR="114300" wp14:anchorId="13790FA8" wp14:editId="265A53F5">
                  <wp:extent cx="466725" cy="4660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66725" cy="466090"/>
                          </a:xfrm>
                          <a:prstGeom prst="rect">
                            <a:avLst/>
                          </a:prstGeom>
                          <a:ln/>
                        </pic:spPr>
                      </pic:pic>
                    </a:graphicData>
                  </a:graphic>
                </wp:inline>
              </w:drawing>
            </w:r>
          </w:p>
        </w:tc>
        <w:tc>
          <w:tcPr>
            <w:tcW w:w="190" w:type="dxa"/>
            <w:tcBorders>
              <w:top w:val="nil"/>
              <w:left w:val="nil"/>
              <w:bottom w:val="nil"/>
              <w:right w:val="nil"/>
            </w:tcBorders>
          </w:tcPr>
          <w:p w14:paraId="332A00E3" w14:textId="77777777" w:rsidR="007A5B1C" w:rsidRDefault="007A5B1C">
            <w:pPr>
              <w:ind w:left="1" w:hanging="3"/>
              <w:rPr>
                <w:sz w:val="34"/>
                <w:szCs w:val="34"/>
              </w:rPr>
            </w:pPr>
          </w:p>
        </w:tc>
        <w:tc>
          <w:tcPr>
            <w:tcW w:w="5072" w:type="dxa"/>
            <w:tcBorders>
              <w:top w:val="single" w:sz="4" w:space="0" w:color="000000"/>
              <w:left w:val="nil"/>
              <w:bottom w:val="single" w:sz="4" w:space="0" w:color="000000"/>
              <w:right w:val="nil"/>
            </w:tcBorders>
          </w:tcPr>
          <w:p w14:paraId="6D70CC52" w14:textId="77777777" w:rsidR="007A5B1C" w:rsidRDefault="00572BDF">
            <w:pPr>
              <w:spacing w:before="40"/>
              <w:ind w:left="0" w:hanging="2"/>
              <w:rPr>
                <w:sz w:val="22"/>
                <w:szCs w:val="22"/>
              </w:rPr>
            </w:pPr>
            <w:r>
              <w:rPr>
                <w:b/>
                <w:sz w:val="22"/>
                <w:szCs w:val="22"/>
              </w:rPr>
              <w:t>UNIVERSIDADE FEDERAL DA BAHIA</w:t>
            </w:r>
          </w:p>
          <w:p w14:paraId="1B5B470C" w14:textId="77777777" w:rsidR="007A5B1C" w:rsidRDefault="00572BDF">
            <w:pPr>
              <w:ind w:left="0" w:hanging="2"/>
              <w:rPr>
                <w:sz w:val="22"/>
                <w:szCs w:val="22"/>
              </w:rPr>
            </w:pPr>
            <w:r>
              <w:rPr>
                <w:b/>
                <w:sz w:val="22"/>
                <w:szCs w:val="22"/>
              </w:rPr>
              <w:t>SUPERINTENDÊNCIA ACADÊMICA</w:t>
            </w:r>
          </w:p>
          <w:p w14:paraId="17C16882" w14:textId="77777777" w:rsidR="007A5B1C" w:rsidRDefault="00572BDF">
            <w:pPr>
              <w:spacing w:after="40"/>
              <w:ind w:left="0" w:hanging="2"/>
              <w:rPr>
                <w:sz w:val="26"/>
                <w:szCs w:val="26"/>
              </w:rPr>
            </w:pPr>
            <w:r>
              <w:rPr>
                <w:b/>
                <w:sz w:val="22"/>
                <w:szCs w:val="22"/>
              </w:rPr>
              <w:t xml:space="preserve">SECRETARIA GERAL DOS CURSOS </w:t>
            </w:r>
          </w:p>
        </w:tc>
        <w:tc>
          <w:tcPr>
            <w:tcW w:w="190" w:type="dxa"/>
            <w:tcBorders>
              <w:top w:val="nil"/>
              <w:left w:val="nil"/>
              <w:bottom w:val="nil"/>
              <w:right w:val="nil"/>
            </w:tcBorders>
            <w:vAlign w:val="center"/>
          </w:tcPr>
          <w:p w14:paraId="71D31233" w14:textId="77777777" w:rsidR="007A5B1C" w:rsidRDefault="007A5B1C">
            <w:pPr>
              <w:ind w:left="1" w:hanging="3"/>
              <w:jc w:val="both"/>
              <w:rPr>
                <w:sz w:val="32"/>
                <w:szCs w:val="32"/>
              </w:rPr>
            </w:pPr>
          </w:p>
        </w:tc>
        <w:tc>
          <w:tcPr>
            <w:tcW w:w="3370" w:type="dxa"/>
            <w:tcBorders>
              <w:top w:val="single" w:sz="4" w:space="0" w:color="000000"/>
              <w:left w:val="nil"/>
              <w:bottom w:val="single" w:sz="4" w:space="0" w:color="000000"/>
              <w:right w:val="nil"/>
            </w:tcBorders>
          </w:tcPr>
          <w:p w14:paraId="496E199A" w14:textId="77777777" w:rsidR="007A5B1C" w:rsidRDefault="007A5B1C">
            <w:pPr>
              <w:ind w:left="0" w:hanging="2"/>
              <w:rPr>
                <w:sz w:val="22"/>
                <w:szCs w:val="22"/>
              </w:rPr>
            </w:pPr>
          </w:p>
          <w:p w14:paraId="1FD8F227" w14:textId="77777777" w:rsidR="007A5B1C" w:rsidRDefault="00572BDF">
            <w:pPr>
              <w:ind w:left="1" w:hanging="3"/>
              <w:jc w:val="center"/>
              <w:rPr>
                <w:sz w:val="30"/>
                <w:szCs w:val="30"/>
              </w:rPr>
            </w:pPr>
            <w:r>
              <w:rPr>
                <w:b/>
                <w:sz w:val="30"/>
                <w:szCs w:val="30"/>
              </w:rPr>
              <w:t>PROGRAMA DE DISCIPLINAS</w:t>
            </w:r>
          </w:p>
        </w:tc>
      </w:tr>
    </w:tbl>
    <w:p w14:paraId="6E2D4DF6" w14:textId="77777777" w:rsidR="007A5B1C" w:rsidRDefault="007A5B1C">
      <w:pPr>
        <w:ind w:left="0" w:hanging="2"/>
        <w:rPr>
          <w:sz w:val="20"/>
          <w:szCs w:val="20"/>
        </w:rPr>
      </w:pPr>
    </w:p>
    <w:p w14:paraId="5B14C483" w14:textId="77777777" w:rsidR="007A5B1C" w:rsidRDefault="007A5B1C">
      <w:pPr>
        <w:ind w:left="0" w:hanging="2"/>
        <w:rPr>
          <w:sz w:val="20"/>
          <w:szCs w:val="20"/>
        </w:rPr>
      </w:pPr>
    </w:p>
    <w:tbl>
      <w:tblPr>
        <w:tblStyle w:val="a0"/>
        <w:tblW w:w="109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90"/>
        <w:gridCol w:w="8885"/>
      </w:tblGrid>
      <w:tr w:rsidR="007A5B1C" w14:paraId="5C44DF99" w14:textId="77777777">
        <w:trPr>
          <w:jc w:val="center"/>
        </w:trPr>
        <w:tc>
          <w:tcPr>
            <w:tcW w:w="10953" w:type="dxa"/>
            <w:gridSpan w:val="3"/>
            <w:tcBorders>
              <w:top w:val="single" w:sz="4" w:space="0" w:color="000000"/>
              <w:left w:val="nil"/>
              <w:bottom w:val="single" w:sz="4" w:space="0" w:color="000000"/>
              <w:right w:val="nil"/>
            </w:tcBorders>
          </w:tcPr>
          <w:p w14:paraId="46C3B007" w14:textId="77777777" w:rsidR="007A5B1C" w:rsidRDefault="00572BDF">
            <w:pPr>
              <w:spacing w:before="40" w:after="40"/>
              <w:ind w:left="0" w:hanging="2"/>
              <w:jc w:val="center"/>
              <w:rPr>
                <w:sz w:val="20"/>
                <w:szCs w:val="20"/>
              </w:rPr>
            </w:pPr>
            <w:r>
              <w:rPr>
                <w:b/>
                <w:sz w:val="20"/>
                <w:szCs w:val="20"/>
              </w:rPr>
              <w:t>DISCIPLINAS</w:t>
            </w:r>
          </w:p>
        </w:tc>
      </w:tr>
      <w:tr w:rsidR="007A5B1C" w14:paraId="03503D2C" w14:textId="77777777">
        <w:trPr>
          <w:jc w:val="center"/>
        </w:trPr>
        <w:tc>
          <w:tcPr>
            <w:tcW w:w="1878" w:type="dxa"/>
            <w:tcBorders>
              <w:top w:val="single" w:sz="4" w:space="0" w:color="000000"/>
              <w:left w:val="nil"/>
              <w:bottom w:val="nil"/>
              <w:right w:val="nil"/>
            </w:tcBorders>
          </w:tcPr>
          <w:p w14:paraId="5942CF5D" w14:textId="77777777" w:rsidR="007A5B1C" w:rsidRDefault="007A5B1C">
            <w:pPr>
              <w:spacing w:before="40"/>
              <w:ind w:left="-2" w:firstLine="0"/>
              <w:jc w:val="center"/>
              <w:rPr>
                <w:sz w:val="2"/>
                <w:szCs w:val="2"/>
              </w:rPr>
            </w:pPr>
          </w:p>
        </w:tc>
        <w:tc>
          <w:tcPr>
            <w:tcW w:w="190" w:type="dxa"/>
            <w:tcBorders>
              <w:top w:val="nil"/>
              <w:left w:val="nil"/>
              <w:bottom w:val="nil"/>
              <w:right w:val="nil"/>
            </w:tcBorders>
          </w:tcPr>
          <w:p w14:paraId="731A1A5E" w14:textId="77777777" w:rsidR="007A5B1C" w:rsidRDefault="007A5B1C">
            <w:pPr>
              <w:spacing w:before="40"/>
              <w:ind w:left="-2" w:firstLine="0"/>
              <w:jc w:val="center"/>
              <w:rPr>
                <w:sz w:val="2"/>
                <w:szCs w:val="2"/>
              </w:rPr>
            </w:pPr>
          </w:p>
        </w:tc>
        <w:tc>
          <w:tcPr>
            <w:tcW w:w="8885" w:type="dxa"/>
            <w:tcBorders>
              <w:top w:val="single" w:sz="4" w:space="0" w:color="000000"/>
              <w:left w:val="nil"/>
              <w:bottom w:val="nil"/>
              <w:right w:val="nil"/>
            </w:tcBorders>
          </w:tcPr>
          <w:p w14:paraId="4B728474" w14:textId="77777777" w:rsidR="007A5B1C" w:rsidRDefault="007A5B1C">
            <w:pPr>
              <w:spacing w:before="40"/>
              <w:ind w:left="-2" w:firstLine="0"/>
              <w:rPr>
                <w:sz w:val="2"/>
                <w:szCs w:val="2"/>
              </w:rPr>
            </w:pPr>
          </w:p>
        </w:tc>
      </w:tr>
      <w:tr w:rsidR="007A5B1C" w14:paraId="2F0000DB" w14:textId="77777777">
        <w:trPr>
          <w:jc w:val="center"/>
        </w:trPr>
        <w:tc>
          <w:tcPr>
            <w:tcW w:w="1878" w:type="dxa"/>
            <w:tcBorders>
              <w:top w:val="single" w:sz="4" w:space="0" w:color="000000"/>
              <w:left w:val="nil"/>
              <w:bottom w:val="nil"/>
              <w:right w:val="nil"/>
            </w:tcBorders>
          </w:tcPr>
          <w:p w14:paraId="38476B18" w14:textId="77777777" w:rsidR="007A5B1C" w:rsidRDefault="00572BDF">
            <w:pPr>
              <w:spacing w:before="40"/>
              <w:ind w:left="0" w:hanging="2"/>
              <w:jc w:val="center"/>
              <w:rPr>
                <w:sz w:val="16"/>
                <w:szCs w:val="16"/>
              </w:rPr>
            </w:pPr>
            <w:r>
              <w:rPr>
                <w:b/>
                <w:sz w:val="16"/>
                <w:szCs w:val="16"/>
              </w:rPr>
              <w:t>CÓDIGO</w:t>
            </w:r>
          </w:p>
        </w:tc>
        <w:tc>
          <w:tcPr>
            <w:tcW w:w="190" w:type="dxa"/>
            <w:tcBorders>
              <w:top w:val="nil"/>
              <w:left w:val="nil"/>
              <w:bottom w:val="nil"/>
              <w:right w:val="nil"/>
            </w:tcBorders>
          </w:tcPr>
          <w:p w14:paraId="26E454B5" w14:textId="77777777" w:rsidR="007A5B1C" w:rsidRDefault="007A5B1C">
            <w:pPr>
              <w:spacing w:before="40"/>
              <w:ind w:left="0" w:hanging="2"/>
              <w:jc w:val="center"/>
              <w:rPr>
                <w:sz w:val="16"/>
                <w:szCs w:val="16"/>
              </w:rPr>
            </w:pPr>
          </w:p>
        </w:tc>
        <w:tc>
          <w:tcPr>
            <w:tcW w:w="8885" w:type="dxa"/>
            <w:tcBorders>
              <w:top w:val="single" w:sz="4" w:space="0" w:color="000000"/>
              <w:left w:val="nil"/>
              <w:bottom w:val="nil"/>
              <w:right w:val="nil"/>
            </w:tcBorders>
          </w:tcPr>
          <w:p w14:paraId="20927E32" w14:textId="77777777" w:rsidR="007A5B1C" w:rsidRDefault="00572BDF">
            <w:pPr>
              <w:spacing w:before="40"/>
              <w:ind w:left="0" w:hanging="2"/>
              <w:rPr>
                <w:sz w:val="16"/>
                <w:szCs w:val="16"/>
              </w:rPr>
            </w:pPr>
            <w:r>
              <w:rPr>
                <w:b/>
                <w:sz w:val="16"/>
                <w:szCs w:val="16"/>
              </w:rPr>
              <w:t>NOME</w:t>
            </w:r>
          </w:p>
        </w:tc>
      </w:tr>
      <w:tr w:rsidR="007A5B1C" w14:paraId="51B7F1F9" w14:textId="77777777">
        <w:trPr>
          <w:jc w:val="center"/>
        </w:trPr>
        <w:tc>
          <w:tcPr>
            <w:tcW w:w="1878" w:type="dxa"/>
            <w:tcBorders>
              <w:top w:val="nil"/>
              <w:left w:val="nil"/>
              <w:bottom w:val="nil"/>
              <w:right w:val="nil"/>
            </w:tcBorders>
          </w:tcPr>
          <w:p w14:paraId="2E2DB058" w14:textId="77777777" w:rsidR="007A5B1C" w:rsidRDefault="00572BDF">
            <w:pPr>
              <w:spacing w:before="240" w:after="240"/>
              <w:ind w:left="0" w:hanging="2"/>
              <w:jc w:val="center"/>
              <w:rPr>
                <w:b/>
                <w:sz w:val="22"/>
                <w:szCs w:val="22"/>
              </w:rPr>
            </w:pPr>
            <w:r>
              <w:rPr>
                <w:b/>
                <w:sz w:val="22"/>
                <w:szCs w:val="22"/>
              </w:rPr>
              <w:t>IPSB96</w:t>
            </w:r>
          </w:p>
        </w:tc>
        <w:tc>
          <w:tcPr>
            <w:tcW w:w="190" w:type="dxa"/>
            <w:tcBorders>
              <w:top w:val="nil"/>
              <w:left w:val="nil"/>
              <w:bottom w:val="nil"/>
              <w:right w:val="nil"/>
            </w:tcBorders>
          </w:tcPr>
          <w:p w14:paraId="29D2F131" w14:textId="77777777" w:rsidR="007A5B1C" w:rsidRDefault="007A5B1C">
            <w:pPr>
              <w:spacing w:before="240" w:after="240"/>
              <w:ind w:left="0" w:hanging="2"/>
              <w:rPr>
                <w:sz w:val="22"/>
                <w:szCs w:val="22"/>
              </w:rPr>
            </w:pPr>
          </w:p>
        </w:tc>
        <w:tc>
          <w:tcPr>
            <w:tcW w:w="8885" w:type="dxa"/>
            <w:tcBorders>
              <w:top w:val="nil"/>
              <w:left w:val="nil"/>
              <w:bottom w:val="nil"/>
              <w:right w:val="nil"/>
            </w:tcBorders>
          </w:tcPr>
          <w:p w14:paraId="1C7BBABF" w14:textId="77777777" w:rsidR="007A5B1C" w:rsidRDefault="00572BDF">
            <w:pPr>
              <w:spacing w:before="240" w:after="240"/>
              <w:ind w:left="1" w:hanging="3"/>
              <w:rPr>
                <w:sz w:val="28"/>
                <w:szCs w:val="28"/>
              </w:rPr>
            </w:pPr>
            <w:r>
              <w:rPr>
                <w:b/>
                <w:sz w:val="28"/>
                <w:szCs w:val="28"/>
              </w:rPr>
              <w:t>ESTÁGIO SUPERVISIONADO EM SERVIÇO SOCIAL I</w:t>
            </w:r>
          </w:p>
        </w:tc>
      </w:tr>
      <w:tr w:rsidR="007A5B1C" w14:paraId="1E9E4BB3" w14:textId="77777777">
        <w:trPr>
          <w:jc w:val="center"/>
        </w:trPr>
        <w:tc>
          <w:tcPr>
            <w:tcW w:w="1878" w:type="dxa"/>
            <w:tcBorders>
              <w:top w:val="nil"/>
              <w:left w:val="nil"/>
              <w:bottom w:val="single" w:sz="4" w:space="0" w:color="000000"/>
              <w:right w:val="nil"/>
            </w:tcBorders>
          </w:tcPr>
          <w:p w14:paraId="18CACD54" w14:textId="77777777" w:rsidR="007A5B1C" w:rsidRDefault="007A5B1C">
            <w:pPr>
              <w:spacing w:before="240" w:after="240"/>
              <w:ind w:left="0" w:hanging="2"/>
              <w:jc w:val="center"/>
              <w:rPr>
                <w:sz w:val="22"/>
                <w:szCs w:val="22"/>
              </w:rPr>
            </w:pPr>
          </w:p>
        </w:tc>
        <w:tc>
          <w:tcPr>
            <w:tcW w:w="190" w:type="dxa"/>
            <w:tcBorders>
              <w:top w:val="nil"/>
              <w:left w:val="nil"/>
              <w:bottom w:val="nil"/>
              <w:right w:val="nil"/>
            </w:tcBorders>
          </w:tcPr>
          <w:p w14:paraId="3733CA43" w14:textId="77777777" w:rsidR="007A5B1C" w:rsidRDefault="007A5B1C">
            <w:pPr>
              <w:spacing w:before="240" w:after="240"/>
              <w:ind w:left="0" w:hanging="2"/>
              <w:rPr>
                <w:sz w:val="22"/>
                <w:szCs w:val="22"/>
              </w:rPr>
            </w:pPr>
          </w:p>
        </w:tc>
        <w:tc>
          <w:tcPr>
            <w:tcW w:w="8885" w:type="dxa"/>
            <w:tcBorders>
              <w:top w:val="nil"/>
              <w:left w:val="nil"/>
              <w:bottom w:val="single" w:sz="4" w:space="0" w:color="000000"/>
              <w:right w:val="nil"/>
            </w:tcBorders>
          </w:tcPr>
          <w:p w14:paraId="58E32F66" w14:textId="77777777" w:rsidR="007A5B1C" w:rsidRDefault="007A5B1C">
            <w:pPr>
              <w:spacing w:before="240" w:after="240"/>
              <w:ind w:left="1" w:hanging="3"/>
              <w:rPr>
                <w:sz w:val="28"/>
                <w:szCs w:val="28"/>
              </w:rPr>
            </w:pPr>
          </w:p>
        </w:tc>
      </w:tr>
    </w:tbl>
    <w:p w14:paraId="39CADE3B" w14:textId="77777777" w:rsidR="007A5B1C" w:rsidRDefault="007A5B1C">
      <w:pPr>
        <w:ind w:left="0" w:hanging="2"/>
        <w:rPr>
          <w:sz w:val="16"/>
          <w:szCs w:val="16"/>
        </w:rPr>
      </w:pPr>
    </w:p>
    <w:tbl>
      <w:tblPr>
        <w:tblStyle w:val="a1"/>
        <w:tblW w:w="9720" w:type="dxa"/>
        <w:jc w:val="center"/>
        <w:tblInd w:w="0" w:type="dxa"/>
        <w:tblLayout w:type="fixed"/>
        <w:tblLook w:val="0000" w:firstRow="0" w:lastRow="0" w:firstColumn="0" w:lastColumn="0" w:noHBand="0" w:noVBand="0"/>
      </w:tblPr>
      <w:tblGrid>
        <w:gridCol w:w="525"/>
        <w:gridCol w:w="511"/>
        <w:gridCol w:w="611"/>
        <w:gridCol w:w="788"/>
        <w:gridCol w:w="190"/>
        <w:gridCol w:w="190"/>
        <w:gridCol w:w="5592"/>
        <w:gridCol w:w="190"/>
        <w:gridCol w:w="1123"/>
      </w:tblGrid>
      <w:tr w:rsidR="007A5B1C" w14:paraId="4B1C02C7" w14:textId="77777777">
        <w:trPr>
          <w:jc w:val="center"/>
        </w:trPr>
        <w:tc>
          <w:tcPr>
            <w:tcW w:w="2435" w:type="dxa"/>
            <w:gridSpan w:val="4"/>
            <w:tcBorders>
              <w:top w:val="single" w:sz="4" w:space="0" w:color="000000"/>
              <w:left w:val="nil"/>
              <w:bottom w:val="single" w:sz="4" w:space="0" w:color="000000"/>
              <w:right w:val="nil"/>
            </w:tcBorders>
            <w:vAlign w:val="center"/>
          </w:tcPr>
          <w:p w14:paraId="36BC4CDC" w14:textId="77777777" w:rsidR="007A5B1C" w:rsidRDefault="00572BDF">
            <w:pPr>
              <w:spacing w:before="40"/>
              <w:ind w:left="0" w:hanging="2"/>
              <w:jc w:val="center"/>
              <w:rPr>
                <w:sz w:val="20"/>
                <w:szCs w:val="20"/>
              </w:rPr>
            </w:pPr>
            <w:r>
              <w:rPr>
                <w:b/>
                <w:sz w:val="20"/>
                <w:szCs w:val="20"/>
              </w:rPr>
              <w:t>CARGA HORÁRIA</w:t>
            </w:r>
          </w:p>
        </w:tc>
        <w:tc>
          <w:tcPr>
            <w:tcW w:w="190" w:type="dxa"/>
            <w:tcBorders>
              <w:top w:val="nil"/>
              <w:left w:val="nil"/>
              <w:bottom w:val="nil"/>
              <w:right w:val="nil"/>
            </w:tcBorders>
            <w:vAlign w:val="center"/>
          </w:tcPr>
          <w:p w14:paraId="70DD5C13" w14:textId="77777777" w:rsidR="007A5B1C" w:rsidRDefault="007A5B1C">
            <w:pPr>
              <w:spacing w:before="40"/>
              <w:ind w:left="0" w:hanging="2"/>
              <w:jc w:val="center"/>
              <w:rPr>
                <w:sz w:val="20"/>
                <w:szCs w:val="20"/>
              </w:rPr>
            </w:pPr>
          </w:p>
        </w:tc>
        <w:tc>
          <w:tcPr>
            <w:tcW w:w="190" w:type="dxa"/>
            <w:tcBorders>
              <w:top w:val="nil"/>
              <w:left w:val="nil"/>
              <w:bottom w:val="nil"/>
              <w:right w:val="nil"/>
            </w:tcBorders>
            <w:vAlign w:val="center"/>
          </w:tcPr>
          <w:p w14:paraId="77224208" w14:textId="77777777" w:rsidR="007A5B1C" w:rsidRDefault="007A5B1C">
            <w:pPr>
              <w:spacing w:before="40"/>
              <w:ind w:left="0" w:hanging="2"/>
              <w:jc w:val="center"/>
              <w:rPr>
                <w:sz w:val="20"/>
                <w:szCs w:val="20"/>
              </w:rPr>
            </w:pPr>
          </w:p>
        </w:tc>
        <w:tc>
          <w:tcPr>
            <w:tcW w:w="5592" w:type="dxa"/>
            <w:tcBorders>
              <w:top w:val="single" w:sz="4" w:space="0" w:color="000000"/>
              <w:left w:val="nil"/>
              <w:bottom w:val="single" w:sz="4" w:space="0" w:color="000000"/>
              <w:right w:val="nil"/>
            </w:tcBorders>
            <w:vAlign w:val="center"/>
          </w:tcPr>
          <w:p w14:paraId="784C13EE" w14:textId="77777777" w:rsidR="007A5B1C" w:rsidRDefault="00572BDF">
            <w:pPr>
              <w:spacing w:before="40"/>
              <w:ind w:left="0" w:hanging="2"/>
              <w:jc w:val="center"/>
              <w:rPr>
                <w:sz w:val="20"/>
                <w:szCs w:val="20"/>
              </w:rPr>
            </w:pPr>
            <w:r>
              <w:rPr>
                <w:b/>
                <w:sz w:val="20"/>
                <w:szCs w:val="20"/>
              </w:rPr>
              <w:t>ASSINATURA DO CHEFE DO DEPARTAMENTO</w:t>
            </w:r>
          </w:p>
        </w:tc>
        <w:tc>
          <w:tcPr>
            <w:tcW w:w="190" w:type="dxa"/>
            <w:tcBorders>
              <w:top w:val="nil"/>
              <w:left w:val="nil"/>
              <w:bottom w:val="nil"/>
              <w:right w:val="nil"/>
            </w:tcBorders>
            <w:vAlign w:val="center"/>
          </w:tcPr>
          <w:p w14:paraId="19A58860" w14:textId="77777777" w:rsidR="007A5B1C" w:rsidRDefault="007A5B1C">
            <w:pPr>
              <w:spacing w:before="40"/>
              <w:ind w:left="0" w:hanging="2"/>
              <w:jc w:val="center"/>
              <w:rPr>
                <w:sz w:val="20"/>
                <w:szCs w:val="20"/>
              </w:rPr>
            </w:pPr>
          </w:p>
        </w:tc>
        <w:tc>
          <w:tcPr>
            <w:tcW w:w="1123" w:type="dxa"/>
            <w:tcBorders>
              <w:top w:val="single" w:sz="4" w:space="0" w:color="000000"/>
              <w:left w:val="nil"/>
              <w:bottom w:val="single" w:sz="4" w:space="0" w:color="000000"/>
              <w:right w:val="nil"/>
            </w:tcBorders>
            <w:vAlign w:val="center"/>
          </w:tcPr>
          <w:p w14:paraId="7E6D888A" w14:textId="77777777" w:rsidR="007A5B1C" w:rsidRDefault="00572BDF">
            <w:pPr>
              <w:spacing w:before="40"/>
              <w:ind w:left="0" w:hanging="2"/>
              <w:jc w:val="center"/>
              <w:rPr>
                <w:sz w:val="20"/>
                <w:szCs w:val="20"/>
              </w:rPr>
            </w:pPr>
            <w:r>
              <w:rPr>
                <w:b/>
                <w:sz w:val="20"/>
                <w:szCs w:val="20"/>
              </w:rPr>
              <w:t>ANO</w:t>
            </w:r>
          </w:p>
        </w:tc>
      </w:tr>
      <w:tr w:rsidR="007A5B1C" w14:paraId="396B8465" w14:textId="77777777">
        <w:trPr>
          <w:jc w:val="center"/>
        </w:trPr>
        <w:tc>
          <w:tcPr>
            <w:tcW w:w="525" w:type="dxa"/>
            <w:tcBorders>
              <w:top w:val="single" w:sz="4" w:space="0" w:color="000000"/>
              <w:left w:val="nil"/>
              <w:bottom w:val="single" w:sz="4" w:space="0" w:color="000000"/>
              <w:right w:val="single" w:sz="4" w:space="0" w:color="000000"/>
            </w:tcBorders>
            <w:vAlign w:val="center"/>
          </w:tcPr>
          <w:p w14:paraId="0CA374D2" w14:textId="77777777" w:rsidR="007A5B1C" w:rsidRDefault="00572BDF">
            <w:pPr>
              <w:spacing w:before="40"/>
              <w:ind w:left="0" w:hanging="2"/>
              <w:jc w:val="center"/>
              <w:rPr>
                <w:sz w:val="16"/>
                <w:szCs w:val="16"/>
              </w:rPr>
            </w:pPr>
            <w:r>
              <w:rPr>
                <w:b/>
                <w:sz w:val="16"/>
                <w:szCs w:val="16"/>
              </w:rPr>
              <w:t>T</w:t>
            </w:r>
          </w:p>
        </w:tc>
        <w:tc>
          <w:tcPr>
            <w:tcW w:w="511" w:type="dxa"/>
            <w:tcBorders>
              <w:top w:val="single" w:sz="4" w:space="0" w:color="000000"/>
              <w:left w:val="single" w:sz="4" w:space="0" w:color="000000"/>
              <w:bottom w:val="single" w:sz="4" w:space="0" w:color="000000"/>
              <w:right w:val="single" w:sz="4" w:space="0" w:color="000000"/>
            </w:tcBorders>
            <w:vAlign w:val="center"/>
          </w:tcPr>
          <w:p w14:paraId="75C55EAC" w14:textId="77777777" w:rsidR="007A5B1C" w:rsidRDefault="00572BDF">
            <w:pPr>
              <w:spacing w:before="40"/>
              <w:ind w:left="0" w:hanging="2"/>
              <w:jc w:val="center"/>
              <w:rPr>
                <w:sz w:val="16"/>
                <w:szCs w:val="16"/>
              </w:rPr>
            </w:pPr>
            <w:r>
              <w:rPr>
                <w:b/>
                <w:sz w:val="16"/>
                <w:szCs w:val="16"/>
              </w:rPr>
              <w:t>P</w:t>
            </w:r>
          </w:p>
        </w:tc>
        <w:tc>
          <w:tcPr>
            <w:tcW w:w="611" w:type="dxa"/>
            <w:tcBorders>
              <w:top w:val="single" w:sz="4" w:space="0" w:color="000000"/>
              <w:left w:val="single" w:sz="4" w:space="0" w:color="000000"/>
              <w:bottom w:val="single" w:sz="4" w:space="0" w:color="000000"/>
              <w:right w:val="single" w:sz="4" w:space="0" w:color="000000"/>
            </w:tcBorders>
            <w:vAlign w:val="center"/>
          </w:tcPr>
          <w:p w14:paraId="2FCDEA24" w14:textId="77777777" w:rsidR="007A5B1C" w:rsidRDefault="00572BDF">
            <w:pPr>
              <w:spacing w:before="40"/>
              <w:ind w:left="0" w:hanging="2"/>
              <w:jc w:val="center"/>
              <w:rPr>
                <w:sz w:val="16"/>
                <w:szCs w:val="16"/>
              </w:rPr>
            </w:pPr>
            <w:r>
              <w:rPr>
                <w:b/>
                <w:sz w:val="16"/>
                <w:szCs w:val="16"/>
              </w:rPr>
              <w:t>E</w:t>
            </w:r>
          </w:p>
        </w:tc>
        <w:tc>
          <w:tcPr>
            <w:tcW w:w="788" w:type="dxa"/>
            <w:tcBorders>
              <w:top w:val="single" w:sz="4" w:space="0" w:color="000000"/>
              <w:left w:val="single" w:sz="4" w:space="0" w:color="000000"/>
              <w:bottom w:val="single" w:sz="4" w:space="0" w:color="000000"/>
              <w:right w:val="nil"/>
            </w:tcBorders>
            <w:vAlign w:val="center"/>
          </w:tcPr>
          <w:p w14:paraId="099C3216" w14:textId="77777777" w:rsidR="007A5B1C" w:rsidRDefault="00572BDF">
            <w:pPr>
              <w:spacing w:before="40"/>
              <w:ind w:left="0" w:hanging="2"/>
              <w:jc w:val="center"/>
              <w:rPr>
                <w:sz w:val="16"/>
                <w:szCs w:val="16"/>
              </w:rPr>
            </w:pPr>
            <w:r>
              <w:rPr>
                <w:b/>
                <w:sz w:val="16"/>
                <w:szCs w:val="16"/>
              </w:rPr>
              <w:t>TOTAL</w:t>
            </w:r>
          </w:p>
        </w:tc>
        <w:tc>
          <w:tcPr>
            <w:tcW w:w="190" w:type="dxa"/>
            <w:tcBorders>
              <w:top w:val="nil"/>
              <w:left w:val="nil"/>
              <w:bottom w:val="nil"/>
              <w:right w:val="nil"/>
            </w:tcBorders>
            <w:vAlign w:val="center"/>
          </w:tcPr>
          <w:p w14:paraId="483A22A6" w14:textId="77777777" w:rsidR="007A5B1C" w:rsidRDefault="007A5B1C">
            <w:pPr>
              <w:spacing w:before="40"/>
              <w:ind w:left="0" w:hanging="2"/>
              <w:jc w:val="center"/>
              <w:rPr>
                <w:sz w:val="16"/>
                <w:szCs w:val="16"/>
              </w:rPr>
            </w:pPr>
          </w:p>
        </w:tc>
        <w:tc>
          <w:tcPr>
            <w:tcW w:w="190" w:type="dxa"/>
            <w:tcBorders>
              <w:top w:val="nil"/>
              <w:left w:val="nil"/>
              <w:bottom w:val="nil"/>
              <w:right w:val="nil"/>
            </w:tcBorders>
            <w:vAlign w:val="center"/>
          </w:tcPr>
          <w:p w14:paraId="79501E08" w14:textId="77777777" w:rsidR="007A5B1C" w:rsidRDefault="007A5B1C">
            <w:pPr>
              <w:spacing w:before="40"/>
              <w:ind w:left="0" w:hanging="2"/>
              <w:jc w:val="center"/>
              <w:rPr>
                <w:sz w:val="16"/>
                <w:szCs w:val="16"/>
              </w:rPr>
            </w:pPr>
          </w:p>
        </w:tc>
        <w:tc>
          <w:tcPr>
            <w:tcW w:w="5592" w:type="dxa"/>
            <w:tcBorders>
              <w:top w:val="single" w:sz="4" w:space="0" w:color="000000"/>
              <w:left w:val="nil"/>
              <w:bottom w:val="nil"/>
              <w:right w:val="nil"/>
            </w:tcBorders>
            <w:vAlign w:val="center"/>
          </w:tcPr>
          <w:p w14:paraId="119D100C" w14:textId="77777777" w:rsidR="007A5B1C" w:rsidRDefault="007A5B1C">
            <w:pPr>
              <w:spacing w:before="40"/>
              <w:ind w:left="0" w:hanging="2"/>
              <w:jc w:val="center"/>
              <w:rPr>
                <w:sz w:val="16"/>
                <w:szCs w:val="16"/>
              </w:rPr>
            </w:pPr>
          </w:p>
        </w:tc>
        <w:tc>
          <w:tcPr>
            <w:tcW w:w="190" w:type="dxa"/>
            <w:tcBorders>
              <w:top w:val="nil"/>
              <w:left w:val="nil"/>
              <w:bottom w:val="nil"/>
              <w:right w:val="nil"/>
            </w:tcBorders>
            <w:vAlign w:val="center"/>
          </w:tcPr>
          <w:p w14:paraId="517D48A4" w14:textId="77777777" w:rsidR="007A5B1C" w:rsidRDefault="007A5B1C">
            <w:pPr>
              <w:spacing w:before="40"/>
              <w:ind w:left="0" w:hanging="2"/>
              <w:jc w:val="center"/>
              <w:rPr>
                <w:sz w:val="16"/>
                <w:szCs w:val="16"/>
              </w:rPr>
            </w:pPr>
          </w:p>
        </w:tc>
        <w:tc>
          <w:tcPr>
            <w:tcW w:w="1123" w:type="dxa"/>
            <w:tcBorders>
              <w:top w:val="single" w:sz="4" w:space="0" w:color="000000"/>
              <w:left w:val="nil"/>
              <w:bottom w:val="nil"/>
              <w:right w:val="nil"/>
            </w:tcBorders>
            <w:vAlign w:val="center"/>
          </w:tcPr>
          <w:p w14:paraId="4E58A2D4" w14:textId="77777777" w:rsidR="007A5B1C" w:rsidRDefault="007A5B1C">
            <w:pPr>
              <w:spacing w:before="40"/>
              <w:ind w:left="0" w:hanging="2"/>
              <w:jc w:val="center"/>
              <w:rPr>
                <w:sz w:val="16"/>
                <w:szCs w:val="16"/>
              </w:rPr>
            </w:pPr>
          </w:p>
        </w:tc>
      </w:tr>
      <w:tr w:rsidR="007A5B1C" w14:paraId="0AB15F6D" w14:textId="77777777">
        <w:trPr>
          <w:jc w:val="center"/>
        </w:trPr>
        <w:tc>
          <w:tcPr>
            <w:tcW w:w="525" w:type="dxa"/>
            <w:tcBorders>
              <w:top w:val="single" w:sz="4" w:space="0" w:color="000000"/>
              <w:left w:val="nil"/>
              <w:bottom w:val="single" w:sz="4" w:space="0" w:color="000000"/>
              <w:right w:val="single" w:sz="4" w:space="0" w:color="000000"/>
            </w:tcBorders>
            <w:vAlign w:val="center"/>
          </w:tcPr>
          <w:p w14:paraId="6CC2E750" w14:textId="16283A95" w:rsidR="007A5B1C" w:rsidRDefault="006F405B">
            <w:pPr>
              <w:spacing w:before="240" w:after="240"/>
              <w:ind w:left="0" w:hanging="2"/>
              <w:jc w:val="center"/>
              <w:rPr>
                <w:sz w:val="22"/>
                <w:szCs w:val="22"/>
              </w:rPr>
            </w:pPr>
            <w:r>
              <w:rPr>
                <w:sz w:val="22"/>
                <w:szCs w:val="22"/>
              </w:rPr>
              <w:t>51</w:t>
            </w:r>
          </w:p>
        </w:tc>
        <w:tc>
          <w:tcPr>
            <w:tcW w:w="511" w:type="dxa"/>
            <w:tcBorders>
              <w:top w:val="single" w:sz="4" w:space="0" w:color="000000"/>
              <w:left w:val="single" w:sz="4" w:space="0" w:color="000000"/>
              <w:bottom w:val="single" w:sz="4" w:space="0" w:color="000000"/>
              <w:right w:val="single" w:sz="4" w:space="0" w:color="000000"/>
            </w:tcBorders>
            <w:vAlign w:val="center"/>
          </w:tcPr>
          <w:p w14:paraId="0C30D2FD" w14:textId="29AA5882" w:rsidR="007A5B1C" w:rsidRDefault="006F405B">
            <w:pPr>
              <w:spacing w:before="240" w:after="240"/>
              <w:ind w:left="0" w:hanging="2"/>
              <w:jc w:val="center"/>
              <w:rPr>
                <w:sz w:val="22"/>
                <w:szCs w:val="22"/>
              </w:rPr>
            </w:pPr>
            <w:r>
              <w:rPr>
                <w:sz w:val="22"/>
                <w:szCs w:val="22"/>
              </w:rPr>
              <w:t>113</w:t>
            </w:r>
          </w:p>
        </w:tc>
        <w:tc>
          <w:tcPr>
            <w:tcW w:w="611" w:type="dxa"/>
            <w:tcBorders>
              <w:top w:val="single" w:sz="4" w:space="0" w:color="000000"/>
              <w:left w:val="single" w:sz="4" w:space="0" w:color="000000"/>
              <w:bottom w:val="single" w:sz="4" w:space="0" w:color="000000"/>
              <w:right w:val="single" w:sz="4" w:space="0" w:color="000000"/>
            </w:tcBorders>
            <w:vAlign w:val="center"/>
          </w:tcPr>
          <w:p w14:paraId="481AEF2E" w14:textId="77777777" w:rsidR="007A5B1C" w:rsidRDefault="007A5B1C">
            <w:pPr>
              <w:spacing w:before="240" w:after="240"/>
              <w:ind w:left="0" w:hanging="2"/>
              <w:jc w:val="center"/>
              <w:rPr>
                <w:sz w:val="22"/>
                <w:szCs w:val="22"/>
              </w:rPr>
            </w:pPr>
          </w:p>
        </w:tc>
        <w:tc>
          <w:tcPr>
            <w:tcW w:w="788" w:type="dxa"/>
            <w:tcBorders>
              <w:top w:val="single" w:sz="4" w:space="0" w:color="000000"/>
              <w:left w:val="single" w:sz="4" w:space="0" w:color="000000"/>
              <w:bottom w:val="single" w:sz="4" w:space="0" w:color="000000"/>
              <w:right w:val="nil"/>
            </w:tcBorders>
            <w:vAlign w:val="center"/>
          </w:tcPr>
          <w:p w14:paraId="4C568530" w14:textId="76B11D6A" w:rsidR="007A5B1C" w:rsidRDefault="006F405B">
            <w:pPr>
              <w:spacing w:before="240" w:after="240"/>
              <w:ind w:left="0" w:hanging="2"/>
              <w:jc w:val="center"/>
              <w:rPr>
                <w:sz w:val="22"/>
                <w:szCs w:val="22"/>
              </w:rPr>
            </w:pPr>
            <w:r>
              <w:rPr>
                <w:sz w:val="22"/>
                <w:szCs w:val="22"/>
              </w:rPr>
              <w:t>164</w:t>
            </w:r>
            <w:r w:rsidR="00572BDF">
              <w:rPr>
                <w:sz w:val="22"/>
                <w:szCs w:val="22"/>
              </w:rPr>
              <w:t>h</w:t>
            </w:r>
          </w:p>
        </w:tc>
        <w:tc>
          <w:tcPr>
            <w:tcW w:w="190" w:type="dxa"/>
            <w:tcBorders>
              <w:top w:val="nil"/>
              <w:left w:val="nil"/>
              <w:bottom w:val="nil"/>
              <w:right w:val="nil"/>
            </w:tcBorders>
            <w:vAlign w:val="center"/>
          </w:tcPr>
          <w:p w14:paraId="2E40553C" w14:textId="77777777" w:rsidR="007A5B1C" w:rsidRDefault="007A5B1C">
            <w:pPr>
              <w:spacing w:before="240" w:after="240"/>
              <w:ind w:left="0" w:hanging="2"/>
              <w:jc w:val="center"/>
              <w:rPr>
                <w:sz w:val="22"/>
                <w:szCs w:val="22"/>
              </w:rPr>
            </w:pPr>
          </w:p>
        </w:tc>
        <w:tc>
          <w:tcPr>
            <w:tcW w:w="190" w:type="dxa"/>
            <w:tcBorders>
              <w:top w:val="nil"/>
              <w:left w:val="nil"/>
              <w:bottom w:val="nil"/>
              <w:right w:val="nil"/>
            </w:tcBorders>
            <w:vAlign w:val="center"/>
          </w:tcPr>
          <w:p w14:paraId="7512AD9E" w14:textId="77777777" w:rsidR="007A5B1C" w:rsidRDefault="007A5B1C">
            <w:pPr>
              <w:spacing w:before="240" w:after="240"/>
              <w:ind w:left="0" w:hanging="2"/>
              <w:jc w:val="center"/>
              <w:rPr>
                <w:sz w:val="22"/>
                <w:szCs w:val="22"/>
              </w:rPr>
            </w:pPr>
          </w:p>
        </w:tc>
        <w:tc>
          <w:tcPr>
            <w:tcW w:w="5592" w:type="dxa"/>
            <w:tcBorders>
              <w:top w:val="nil"/>
              <w:left w:val="nil"/>
              <w:bottom w:val="single" w:sz="4" w:space="0" w:color="000000"/>
              <w:right w:val="nil"/>
            </w:tcBorders>
            <w:vAlign w:val="center"/>
          </w:tcPr>
          <w:p w14:paraId="689B89E5" w14:textId="77777777" w:rsidR="007A5B1C" w:rsidRDefault="007A5B1C">
            <w:pPr>
              <w:spacing w:before="240" w:after="240"/>
              <w:ind w:left="0" w:hanging="2"/>
              <w:jc w:val="center"/>
              <w:rPr>
                <w:sz w:val="22"/>
                <w:szCs w:val="22"/>
              </w:rPr>
            </w:pPr>
          </w:p>
        </w:tc>
        <w:tc>
          <w:tcPr>
            <w:tcW w:w="190" w:type="dxa"/>
            <w:tcBorders>
              <w:top w:val="nil"/>
              <w:left w:val="nil"/>
              <w:bottom w:val="nil"/>
              <w:right w:val="nil"/>
            </w:tcBorders>
            <w:vAlign w:val="center"/>
          </w:tcPr>
          <w:p w14:paraId="32060E01" w14:textId="77777777" w:rsidR="007A5B1C" w:rsidRDefault="007A5B1C">
            <w:pPr>
              <w:spacing w:before="240" w:after="240"/>
              <w:ind w:left="0" w:hanging="2"/>
              <w:jc w:val="center"/>
              <w:rPr>
                <w:sz w:val="22"/>
                <w:szCs w:val="22"/>
              </w:rPr>
            </w:pPr>
          </w:p>
        </w:tc>
        <w:tc>
          <w:tcPr>
            <w:tcW w:w="1123" w:type="dxa"/>
            <w:tcBorders>
              <w:top w:val="nil"/>
              <w:left w:val="nil"/>
              <w:bottom w:val="single" w:sz="4" w:space="0" w:color="000000"/>
              <w:right w:val="nil"/>
            </w:tcBorders>
            <w:vAlign w:val="center"/>
          </w:tcPr>
          <w:p w14:paraId="2D5400D9" w14:textId="29CE82FD" w:rsidR="007A5B1C" w:rsidRDefault="00FD2E43">
            <w:pPr>
              <w:spacing w:before="240" w:after="240"/>
              <w:ind w:left="0" w:hanging="2"/>
              <w:jc w:val="center"/>
              <w:rPr>
                <w:sz w:val="22"/>
                <w:szCs w:val="22"/>
              </w:rPr>
            </w:pPr>
            <w:r>
              <w:rPr>
                <w:sz w:val="22"/>
                <w:szCs w:val="22"/>
              </w:rPr>
              <w:t>2023.1</w:t>
            </w:r>
          </w:p>
        </w:tc>
      </w:tr>
    </w:tbl>
    <w:p w14:paraId="51A67CDD" w14:textId="77777777" w:rsidR="007A5B1C" w:rsidRDefault="007A5B1C">
      <w:pPr>
        <w:ind w:left="0" w:hanging="2"/>
        <w:rPr>
          <w:sz w:val="20"/>
          <w:szCs w:val="20"/>
        </w:rPr>
      </w:pPr>
    </w:p>
    <w:p w14:paraId="7B1100D3" w14:textId="77777777" w:rsidR="007A5B1C" w:rsidRDefault="007A5B1C">
      <w:pPr>
        <w:ind w:left="0" w:hanging="2"/>
        <w:rPr>
          <w:sz w:val="20"/>
          <w:szCs w:val="20"/>
        </w:rPr>
      </w:pPr>
    </w:p>
    <w:tbl>
      <w:tblPr>
        <w:tblStyle w:val="a2"/>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7A5B1C" w14:paraId="460236F6" w14:textId="77777777">
        <w:trPr>
          <w:jc w:val="center"/>
        </w:trPr>
        <w:tc>
          <w:tcPr>
            <w:tcW w:w="10773" w:type="dxa"/>
            <w:tcBorders>
              <w:top w:val="single" w:sz="4" w:space="0" w:color="000000"/>
              <w:left w:val="nil"/>
              <w:bottom w:val="single" w:sz="4" w:space="0" w:color="000000"/>
              <w:right w:val="nil"/>
            </w:tcBorders>
          </w:tcPr>
          <w:p w14:paraId="565996FC" w14:textId="77777777" w:rsidR="007A5B1C" w:rsidRDefault="00572BDF">
            <w:pPr>
              <w:spacing w:before="40" w:after="40"/>
              <w:ind w:left="0" w:hanging="2"/>
              <w:jc w:val="center"/>
              <w:rPr>
                <w:sz w:val="20"/>
                <w:szCs w:val="20"/>
              </w:rPr>
            </w:pPr>
            <w:r>
              <w:rPr>
                <w:b/>
                <w:sz w:val="20"/>
                <w:szCs w:val="20"/>
              </w:rPr>
              <w:t>EMENTA</w:t>
            </w:r>
          </w:p>
        </w:tc>
      </w:tr>
      <w:tr w:rsidR="007A5B1C" w14:paraId="3EC95C5E" w14:textId="77777777">
        <w:trPr>
          <w:jc w:val="center"/>
        </w:trPr>
        <w:tc>
          <w:tcPr>
            <w:tcW w:w="10773" w:type="dxa"/>
            <w:tcBorders>
              <w:top w:val="single" w:sz="4" w:space="0" w:color="000000"/>
              <w:left w:val="nil"/>
              <w:bottom w:val="single" w:sz="4" w:space="0" w:color="000000"/>
              <w:right w:val="nil"/>
            </w:tcBorders>
          </w:tcPr>
          <w:p w14:paraId="5E03470B" w14:textId="77777777" w:rsidR="007A5B1C" w:rsidRDefault="00572BDF">
            <w:pPr>
              <w:widowControl w:val="0"/>
              <w:ind w:left="0" w:hanging="2"/>
              <w:jc w:val="both"/>
            </w:pPr>
            <w:r>
              <w:rPr>
                <w:color w:val="000000"/>
                <w:highlight w:val="white"/>
              </w:rPr>
              <w:t>Conhecimentos, habilidades e atitudes necessárias à inserção no campo de estágio: mediações éticas, técnicas, e teóricas, bem como referências jurídicas e normativas, contemplando as categorias epistemológicas classe, raça, etnia e gênero. Processos e relações de trabalho pertinentes à dinâmica institucional e ao trabalho do(s) assistente(s) social(is). Estudo da dinâmica institucional, das políticas sociais e do exercício profissional a partir do espaço ocupacional e das condições de trabalho.</w:t>
            </w:r>
          </w:p>
        </w:tc>
      </w:tr>
    </w:tbl>
    <w:p w14:paraId="4DE96727" w14:textId="77777777" w:rsidR="007A5B1C" w:rsidRDefault="007A5B1C">
      <w:pPr>
        <w:ind w:left="0" w:hanging="2"/>
        <w:rPr>
          <w:sz w:val="20"/>
          <w:szCs w:val="20"/>
        </w:rPr>
      </w:pPr>
    </w:p>
    <w:tbl>
      <w:tblPr>
        <w:tblStyle w:val="a3"/>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7A5B1C" w14:paraId="0CB6313B" w14:textId="77777777">
        <w:trPr>
          <w:jc w:val="center"/>
        </w:trPr>
        <w:tc>
          <w:tcPr>
            <w:tcW w:w="10773" w:type="dxa"/>
            <w:tcBorders>
              <w:top w:val="single" w:sz="4" w:space="0" w:color="000000"/>
              <w:left w:val="nil"/>
              <w:bottom w:val="single" w:sz="4" w:space="0" w:color="000000"/>
              <w:right w:val="nil"/>
            </w:tcBorders>
          </w:tcPr>
          <w:p w14:paraId="0E271751" w14:textId="77777777" w:rsidR="007A5B1C" w:rsidRDefault="00572BDF">
            <w:pPr>
              <w:spacing w:before="40" w:after="40"/>
              <w:ind w:left="0" w:hanging="2"/>
              <w:jc w:val="center"/>
              <w:rPr>
                <w:sz w:val="20"/>
                <w:szCs w:val="20"/>
              </w:rPr>
            </w:pPr>
            <w:r>
              <w:rPr>
                <w:b/>
                <w:sz w:val="20"/>
                <w:szCs w:val="20"/>
              </w:rPr>
              <w:t>OBJETIVOS</w:t>
            </w:r>
          </w:p>
        </w:tc>
      </w:tr>
      <w:tr w:rsidR="007A5B1C" w14:paraId="6D3E59FE" w14:textId="77777777">
        <w:trPr>
          <w:jc w:val="center"/>
        </w:trPr>
        <w:tc>
          <w:tcPr>
            <w:tcW w:w="10773" w:type="dxa"/>
            <w:tcBorders>
              <w:top w:val="single" w:sz="4" w:space="0" w:color="000000"/>
              <w:left w:val="nil"/>
              <w:bottom w:val="single" w:sz="4" w:space="0" w:color="000000"/>
              <w:right w:val="nil"/>
            </w:tcBorders>
          </w:tcPr>
          <w:p w14:paraId="448B5DC1" w14:textId="77777777" w:rsidR="007A5B1C" w:rsidRDefault="00572BDF">
            <w:pPr>
              <w:shd w:val="clear" w:color="auto" w:fill="FFFFFF"/>
              <w:ind w:left="1" w:hanging="3"/>
              <w:rPr>
                <w:sz w:val="22"/>
                <w:szCs w:val="22"/>
              </w:rPr>
            </w:pPr>
            <w:r>
              <w:rPr>
                <w:sz w:val="26"/>
                <w:szCs w:val="26"/>
              </w:rPr>
              <w:t>1.</w:t>
            </w:r>
            <w:r>
              <w:rPr>
                <w:sz w:val="22"/>
                <w:szCs w:val="22"/>
                <w:highlight w:val="white"/>
              </w:rPr>
              <w:t>Debater e problematizar sobre a relação com o ingresso no mercado de trabalho, para recrutamento e seleção,  como construção de currículo, cartas de candidatura e entrevistas de seleção, sob a perspectiva das relações de raça/etnia, classe e gênero.</w:t>
            </w:r>
            <w:r>
              <w:rPr>
                <w:sz w:val="22"/>
                <w:szCs w:val="22"/>
              </w:rPr>
              <w:t xml:space="preserve"> </w:t>
            </w:r>
          </w:p>
          <w:p w14:paraId="31988D3B" w14:textId="77777777" w:rsidR="007A5B1C" w:rsidRDefault="00572BDF">
            <w:pPr>
              <w:shd w:val="clear" w:color="auto" w:fill="FFFFFF"/>
              <w:ind w:left="0" w:hanging="2"/>
              <w:rPr>
                <w:color w:val="000000"/>
              </w:rPr>
            </w:pPr>
            <w:r>
              <w:t xml:space="preserve">2. </w:t>
            </w:r>
            <w:r>
              <w:rPr>
                <w:color w:val="000000"/>
              </w:rPr>
              <w:t>Preparar o/a estagiário/a para inserção no campo de estágio aprimorando o olhar étnico-racial, de classe e gênero com potencialidades de transversalizar todas as ações.</w:t>
            </w:r>
          </w:p>
          <w:p w14:paraId="446EDB49" w14:textId="77777777" w:rsidR="007A5B1C" w:rsidRDefault="00572BDF">
            <w:pPr>
              <w:shd w:val="clear" w:color="auto" w:fill="FFFFFF"/>
              <w:ind w:left="0" w:hanging="2"/>
              <w:rPr>
                <w:color w:val="000000"/>
              </w:rPr>
            </w:pPr>
            <w:r>
              <w:t>3</w:t>
            </w:r>
            <w:r>
              <w:rPr>
                <w:color w:val="000000"/>
              </w:rPr>
              <w:t>. Aprimorar a capacidade de análise das relações e processos sociais nos quais estão inseridas as instituições campo de estágio.</w:t>
            </w:r>
          </w:p>
          <w:p w14:paraId="6BDF6AF7" w14:textId="77777777" w:rsidR="007A5B1C" w:rsidRDefault="00572BDF">
            <w:pPr>
              <w:shd w:val="clear" w:color="auto" w:fill="FFFFFF"/>
              <w:ind w:left="0" w:hanging="2"/>
              <w:rPr>
                <w:color w:val="000000"/>
              </w:rPr>
            </w:pPr>
            <w:r>
              <w:t>4</w:t>
            </w:r>
            <w:r>
              <w:rPr>
                <w:color w:val="000000"/>
              </w:rPr>
              <w:t>. Conhecer e elaborar análises sobre as instituições como campos de execução de políticas sociais, identificando as particularidades do espaço sócio-ocupacional e do trabalho dos/as assistentes sociais.</w:t>
            </w:r>
          </w:p>
          <w:p w14:paraId="751771B3" w14:textId="77777777" w:rsidR="007A5B1C" w:rsidRDefault="00572BDF">
            <w:pPr>
              <w:shd w:val="clear" w:color="auto" w:fill="FFFFFF"/>
              <w:ind w:left="0" w:hanging="2"/>
              <w:rPr>
                <w:color w:val="000000"/>
              </w:rPr>
            </w:pPr>
            <w:r>
              <w:t>5</w:t>
            </w:r>
            <w:r>
              <w:rPr>
                <w:color w:val="000000"/>
              </w:rPr>
              <w:t>. Desenvolver exercícios de construção do objeto de investigação/intervenção;</w:t>
            </w:r>
          </w:p>
          <w:p w14:paraId="1F71D67E" w14:textId="77777777" w:rsidR="007A5B1C" w:rsidRDefault="007A5B1C">
            <w:pPr>
              <w:spacing w:after="120"/>
              <w:ind w:left="0" w:hanging="2"/>
              <w:jc w:val="both"/>
              <w:rPr>
                <w:sz w:val="20"/>
                <w:szCs w:val="20"/>
              </w:rPr>
            </w:pPr>
          </w:p>
        </w:tc>
      </w:tr>
      <w:tr w:rsidR="007A5B1C" w14:paraId="72EBFBC6" w14:textId="77777777">
        <w:trPr>
          <w:jc w:val="center"/>
        </w:trPr>
        <w:tc>
          <w:tcPr>
            <w:tcW w:w="10773" w:type="dxa"/>
            <w:tcBorders>
              <w:top w:val="single" w:sz="4" w:space="0" w:color="000000"/>
              <w:left w:val="nil"/>
              <w:bottom w:val="single" w:sz="4" w:space="0" w:color="000000"/>
              <w:right w:val="nil"/>
            </w:tcBorders>
          </w:tcPr>
          <w:p w14:paraId="0C0F4449" w14:textId="77777777" w:rsidR="007A5B1C" w:rsidRDefault="00572BDF">
            <w:pPr>
              <w:keepNext/>
              <w:pBdr>
                <w:top w:val="nil"/>
                <w:left w:val="nil"/>
                <w:bottom w:val="nil"/>
                <w:right w:val="nil"/>
                <w:between w:val="nil"/>
              </w:pBdr>
              <w:tabs>
                <w:tab w:val="left" w:pos="0"/>
              </w:tabs>
              <w:spacing w:before="240" w:after="60" w:line="240" w:lineRule="auto"/>
              <w:ind w:left="0" w:hanging="2"/>
              <w:jc w:val="center"/>
              <w:rPr>
                <w:b/>
                <w:sz w:val="22"/>
                <w:szCs w:val="22"/>
              </w:rPr>
            </w:pPr>
            <w:r>
              <w:rPr>
                <w:b/>
                <w:sz w:val="22"/>
                <w:szCs w:val="22"/>
              </w:rPr>
              <w:lastRenderedPageBreak/>
              <w:t>CONTEÚDO PROGRAMÁTICO</w:t>
            </w:r>
          </w:p>
          <w:p w14:paraId="40BB6449" w14:textId="77777777" w:rsidR="007A5B1C" w:rsidRDefault="00572BDF">
            <w:pPr>
              <w:keepNext/>
              <w:pBdr>
                <w:top w:val="nil"/>
                <w:left w:val="nil"/>
                <w:bottom w:val="nil"/>
                <w:right w:val="nil"/>
                <w:between w:val="nil"/>
              </w:pBdr>
              <w:tabs>
                <w:tab w:val="left" w:pos="0"/>
              </w:tabs>
              <w:spacing w:before="240" w:after="60" w:line="240" w:lineRule="auto"/>
              <w:ind w:left="0" w:hanging="2"/>
              <w:rPr>
                <w:b/>
                <w:color w:val="000000"/>
                <w:sz w:val="22"/>
                <w:szCs w:val="22"/>
              </w:rPr>
            </w:pPr>
            <w:r>
              <w:rPr>
                <w:b/>
                <w:color w:val="000000"/>
                <w:sz w:val="22"/>
                <w:szCs w:val="22"/>
              </w:rPr>
              <w:t xml:space="preserve">INTRODUÇÃO </w:t>
            </w:r>
          </w:p>
          <w:p w14:paraId="70030E19" w14:textId="77777777" w:rsidR="007A5B1C" w:rsidRDefault="00572BDF">
            <w:pPr>
              <w:tabs>
                <w:tab w:val="left" w:pos="7340"/>
              </w:tabs>
              <w:ind w:left="0" w:hanging="2"/>
              <w:jc w:val="both"/>
            </w:pPr>
            <w:r>
              <w:t xml:space="preserve">Reflexão crítica dos princípios ético-políticos no enfrentamento da questão social e apresentação do instrumental  normativo do Estágio Supervisionado em Serviço Social, com base no Regulamento de Ensino de Graduação e Pós-Graduação Stricto Sensu (REGPG), da UFBA, no Código de Ética Profissional, na Lei de Regulamentação da Profissão, Resoluções do CFESS, Política Nacional de Estágio da ABEPSS, bem como Lei Federal nº 11.788/2008.. </w:t>
            </w:r>
          </w:p>
          <w:p w14:paraId="4040BD28" w14:textId="77777777" w:rsidR="007A5B1C" w:rsidRDefault="00572BDF">
            <w:pPr>
              <w:ind w:left="0" w:hanging="2"/>
            </w:pPr>
            <w:r>
              <w:t xml:space="preserve">. </w:t>
            </w:r>
          </w:p>
          <w:p w14:paraId="0EA58CEA" w14:textId="77777777" w:rsidR="007A5B1C" w:rsidRDefault="00572BDF">
            <w:pPr>
              <w:ind w:left="0" w:hanging="2"/>
              <w:jc w:val="both"/>
              <w:rPr>
                <w:b/>
                <w:sz w:val="22"/>
                <w:szCs w:val="22"/>
              </w:rPr>
            </w:pPr>
            <w:r>
              <w:rPr>
                <w:b/>
                <w:sz w:val="22"/>
                <w:szCs w:val="22"/>
              </w:rPr>
              <w:t xml:space="preserve">  </w:t>
            </w:r>
            <w:r>
              <w:rPr>
                <w:b/>
              </w:rPr>
              <w:t>ANÁLISE DE CONJUNTURA, A QUESTÃO SOCIAL E O ESPAÇO SÓCIO-OCUPACIONAL</w:t>
            </w:r>
          </w:p>
          <w:p w14:paraId="001B9746" w14:textId="77777777" w:rsidR="007A5B1C" w:rsidRDefault="007A5B1C">
            <w:pPr>
              <w:ind w:left="0" w:hanging="2"/>
              <w:jc w:val="both"/>
            </w:pPr>
          </w:p>
          <w:p w14:paraId="3D86F6A0" w14:textId="77777777" w:rsidR="007A5B1C" w:rsidRDefault="00572BDF" w:rsidP="00572BDF">
            <w:pPr>
              <w:pStyle w:val="PargrafodaLista"/>
              <w:numPr>
                <w:ilvl w:val="0"/>
                <w:numId w:val="2"/>
              </w:numPr>
              <w:tabs>
                <w:tab w:val="left" w:pos="7340"/>
              </w:tabs>
              <w:ind w:leftChars="0" w:firstLineChars="0"/>
            </w:pPr>
            <w:r>
              <w:t>Base legal e normativa sobre o Estágio Supervisionado em Serviço Social;</w:t>
            </w:r>
          </w:p>
          <w:p w14:paraId="7DB039AE" w14:textId="77777777" w:rsidR="007A5B1C" w:rsidRDefault="00572BDF" w:rsidP="00572BDF">
            <w:pPr>
              <w:pStyle w:val="PargrafodaLista"/>
              <w:numPr>
                <w:ilvl w:val="0"/>
                <w:numId w:val="2"/>
              </w:numPr>
              <w:tabs>
                <w:tab w:val="left" w:pos="7340"/>
              </w:tabs>
              <w:ind w:leftChars="0" w:firstLineChars="0"/>
            </w:pPr>
            <w:r>
              <w:t>Mediações teórico-práticas e relação interdependente entre as três dimensões do trabalho profissional: teórico-metodológico, técnico-operativo e ético-político</w:t>
            </w:r>
          </w:p>
          <w:p w14:paraId="6CA1C377" w14:textId="77777777" w:rsidR="007A5B1C" w:rsidRDefault="00572BDF" w:rsidP="00572BDF">
            <w:pPr>
              <w:pStyle w:val="PargrafodaLista"/>
              <w:numPr>
                <w:ilvl w:val="0"/>
                <w:numId w:val="2"/>
              </w:numPr>
              <w:tabs>
                <w:tab w:val="left" w:pos="7340"/>
              </w:tabs>
              <w:ind w:leftChars="0" w:firstLineChars="0"/>
            </w:pPr>
            <w:r>
              <w:t>Análise de Conjuntura;</w:t>
            </w:r>
          </w:p>
          <w:p w14:paraId="14D4A4CB" w14:textId="77777777" w:rsidR="007A5B1C" w:rsidRPr="00572BDF" w:rsidRDefault="00572BDF" w:rsidP="00572BDF">
            <w:pPr>
              <w:pStyle w:val="PargrafodaLista"/>
              <w:numPr>
                <w:ilvl w:val="0"/>
                <w:numId w:val="2"/>
              </w:numPr>
              <w:tabs>
                <w:tab w:val="left" w:pos="7340"/>
              </w:tabs>
              <w:ind w:leftChars="0" w:firstLineChars="0"/>
              <w:rPr>
                <w:sz w:val="26"/>
                <w:szCs w:val="26"/>
              </w:rPr>
            </w:pPr>
            <w:r w:rsidRPr="00572BDF">
              <w:rPr>
                <w:sz w:val="22"/>
                <w:szCs w:val="22"/>
                <w:highlight w:val="white"/>
              </w:rPr>
              <w:t>Reflexões sobre o exercício profissional do/a assistente social como trabalhador/a assalariado/a dentro da instituição;</w:t>
            </w:r>
          </w:p>
          <w:p w14:paraId="3CC2BD43" w14:textId="77777777" w:rsidR="007A5B1C" w:rsidRPr="00572BDF" w:rsidRDefault="00572BDF" w:rsidP="00572BDF">
            <w:pPr>
              <w:pStyle w:val="PargrafodaLista"/>
              <w:numPr>
                <w:ilvl w:val="0"/>
                <w:numId w:val="2"/>
              </w:numPr>
              <w:tabs>
                <w:tab w:val="left" w:pos="7340"/>
              </w:tabs>
              <w:ind w:leftChars="0" w:firstLineChars="0"/>
              <w:rPr>
                <w:sz w:val="26"/>
                <w:szCs w:val="26"/>
                <w:highlight w:val="white"/>
              </w:rPr>
            </w:pPr>
            <w:r w:rsidRPr="00572BDF">
              <w:rPr>
                <w:highlight w:val="white"/>
              </w:rPr>
              <w:t>Orientações sobre a documentação a ser entregue pelas/os estudantes ao longo do semestre;</w:t>
            </w:r>
          </w:p>
          <w:p w14:paraId="15E3920D" w14:textId="77777777" w:rsidR="007A5B1C" w:rsidRPr="00572BDF" w:rsidRDefault="00572BDF" w:rsidP="00572BDF">
            <w:pPr>
              <w:pStyle w:val="PargrafodaLista"/>
              <w:numPr>
                <w:ilvl w:val="0"/>
                <w:numId w:val="2"/>
              </w:numPr>
              <w:tabs>
                <w:tab w:val="left" w:pos="7340"/>
              </w:tabs>
              <w:ind w:leftChars="0" w:firstLineChars="0"/>
              <w:rPr>
                <w:sz w:val="28"/>
                <w:szCs w:val="28"/>
                <w:highlight w:val="white"/>
              </w:rPr>
            </w:pPr>
            <w:r w:rsidRPr="00572BDF">
              <w:rPr>
                <w:highlight w:val="white"/>
              </w:rPr>
              <w:t>Orientação sobre a elaboração da análise instituição como documento final do semestre, contendo a compreensão das políticas sociais atendidas pela instituição, programas e projetos desenvolvidos, público atendido, as formas de gestão e de financiamento, bem como todos os itens constantes do documento norteador.</w:t>
            </w:r>
          </w:p>
          <w:p w14:paraId="5666C6FA" w14:textId="77777777" w:rsidR="007A5B1C" w:rsidRDefault="007A5B1C">
            <w:pPr>
              <w:tabs>
                <w:tab w:val="left" w:pos="7340"/>
              </w:tabs>
              <w:ind w:left="0" w:hanging="2"/>
              <w:jc w:val="both"/>
            </w:pPr>
          </w:p>
          <w:p w14:paraId="3FEC3EE2" w14:textId="77777777" w:rsidR="007A5B1C" w:rsidRDefault="007A5B1C">
            <w:pPr>
              <w:tabs>
                <w:tab w:val="left" w:pos="7340"/>
              </w:tabs>
              <w:spacing w:after="120"/>
              <w:ind w:left="0" w:hanging="2"/>
              <w:jc w:val="both"/>
            </w:pPr>
          </w:p>
          <w:p w14:paraId="65354AAD" w14:textId="77777777" w:rsidR="007A5B1C" w:rsidRDefault="00572BDF">
            <w:pPr>
              <w:spacing w:after="120" w:line="360" w:lineRule="auto"/>
              <w:ind w:left="0" w:hanging="2"/>
              <w:jc w:val="both"/>
            </w:pPr>
            <w:r>
              <w:t xml:space="preserve">. </w:t>
            </w:r>
          </w:p>
          <w:p w14:paraId="487EC23D" w14:textId="77777777" w:rsidR="007A5B1C" w:rsidRDefault="007A5B1C">
            <w:pPr>
              <w:tabs>
                <w:tab w:val="left" w:pos="7340"/>
              </w:tabs>
              <w:spacing w:after="120"/>
              <w:ind w:left="0" w:hanging="2"/>
              <w:jc w:val="both"/>
            </w:pPr>
          </w:p>
          <w:p w14:paraId="41EE6D82" w14:textId="77777777" w:rsidR="007A5B1C" w:rsidRDefault="007A5B1C">
            <w:pPr>
              <w:ind w:left="0" w:hanging="2"/>
              <w:jc w:val="both"/>
              <w:rPr>
                <w:sz w:val="22"/>
                <w:szCs w:val="22"/>
              </w:rPr>
            </w:pPr>
          </w:p>
        </w:tc>
      </w:tr>
    </w:tbl>
    <w:p w14:paraId="6226DC2E" w14:textId="77777777" w:rsidR="007A5B1C" w:rsidRDefault="007A5B1C">
      <w:pPr>
        <w:ind w:left="0" w:hanging="2"/>
        <w:rPr>
          <w:sz w:val="22"/>
          <w:szCs w:val="22"/>
        </w:rPr>
      </w:pPr>
    </w:p>
    <w:tbl>
      <w:tblPr>
        <w:tblStyle w:val="a4"/>
        <w:tblW w:w="107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7A5B1C" w14:paraId="46595EE9" w14:textId="77777777">
        <w:tc>
          <w:tcPr>
            <w:tcW w:w="10773" w:type="dxa"/>
            <w:tcBorders>
              <w:top w:val="single" w:sz="4" w:space="0" w:color="000000"/>
              <w:left w:val="nil"/>
              <w:bottom w:val="single" w:sz="4" w:space="0" w:color="000000"/>
              <w:right w:val="nil"/>
            </w:tcBorders>
          </w:tcPr>
          <w:p w14:paraId="07D9B74B" w14:textId="77777777" w:rsidR="007A5B1C" w:rsidRDefault="00572BDF">
            <w:pPr>
              <w:keepNext/>
              <w:pBdr>
                <w:top w:val="nil"/>
                <w:left w:val="nil"/>
                <w:bottom w:val="nil"/>
                <w:right w:val="nil"/>
                <w:between w:val="nil"/>
              </w:pBdr>
              <w:spacing w:line="240" w:lineRule="auto"/>
              <w:ind w:left="0" w:hanging="2"/>
              <w:jc w:val="center"/>
              <w:rPr>
                <w:b/>
                <w:color w:val="000000"/>
                <w:sz w:val="22"/>
                <w:szCs w:val="22"/>
              </w:rPr>
            </w:pPr>
            <w:r>
              <w:rPr>
                <w:b/>
                <w:color w:val="000000"/>
                <w:sz w:val="22"/>
                <w:szCs w:val="22"/>
              </w:rPr>
              <w:t>Metodologia</w:t>
            </w:r>
          </w:p>
        </w:tc>
      </w:tr>
      <w:tr w:rsidR="007A5B1C" w14:paraId="5A3CAE0E" w14:textId="77777777">
        <w:tc>
          <w:tcPr>
            <w:tcW w:w="10773" w:type="dxa"/>
            <w:tcBorders>
              <w:top w:val="single" w:sz="4" w:space="0" w:color="000000"/>
              <w:left w:val="nil"/>
              <w:bottom w:val="single" w:sz="4" w:space="0" w:color="000000"/>
              <w:right w:val="nil"/>
            </w:tcBorders>
          </w:tcPr>
          <w:p w14:paraId="6D9ADFFE" w14:textId="77777777" w:rsidR="007A5B1C" w:rsidRDefault="00572BDF">
            <w:pPr>
              <w:spacing w:before="280" w:after="280"/>
              <w:ind w:left="0" w:hanging="2"/>
              <w:jc w:val="both"/>
            </w:pPr>
            <w:r>
              <w:t>Neste componente curricular o processo de estudo e investigação está predominantemente orientado para a atuação profissional, considerando os interesses e recursos que se disponibilizam nas instituições, bem como a necessidade de conhecimento das demandas e necessidades dos usuários. Assim, o estágio deve ser conduzido como um processo contínuo, em suas dimensões investigativa e interventiva. Favorecendo o desenvolvimento das análises e das construções de objetos de investigação/intervenção, que por sua vez, devem se constituir em fundamentos para a elaboração das propostas de ação. De acordo com as características pedagógicas do Estágio, as reflexões e encaminhamentos devem emergir do diálogo entre os/as supervisores/as acadêmico/a e de campo e o/a estagiário/a, contemplando as diversas dimensões previstas para a contribuição da experiência de estágio na formação profissional.</w:t>
            </w:r>
          </w:p>
          <w:p w14:paraId="698FFAD2" w14:textId="77777777" w:rsidR="007A5B1C" w:rsidRDefault="00572BDF">
            <w:pPr>
              <w:spacing w:before="280" w:after="280"/>
              <w:ind w:left="0" w:hanging="2"/>
              <w:jc w:val="both"/>
            </w:pPr>
            <w:r>
              <w:t>Esta etapa do estágio será realizada através de articulação contínua com as/os supervisoras/os de campo dos estágios, visitas aos campos pela/o supervisor/a acadêmica/o e/ou com as/os estudantes, participação de profissionais na disciplina, aulas expositivas, seminários temáticos, dentre outras formas que permitam conhecimento de processos de trabalho do assistente social em diferentes espaços e políticas sociais.</w:t>
            </w:r>
          </w:p>
          <w:p w14:paraId="53964BB0" w14:textId="77777777" w:rsidR="007A5B1C" w:rsidRDefault="00572BDF">
            <w:pPr>
              <w:spacing w:before="280" w:after="280"/>
              <w:ind w:left="0" w:hanging="2"/>
              <w:jc w:val="both"/>
            </w:pPr>
            <w:r>
              <w:t xml:space="preserve">A avaliação deve ser processual, feita por ambos os/as supervisores, considerando o envolvimento dos/as alunos/as nas atividades desenvolvidas em sala e no campo de estágio, de acordo com as atividades previstas no Plano de Estágio e deve contemplar a documentação solicitada: sistematização da caracterização e análise institucional, em consonância com as especificações determinadas pelos/as respectivos/as supervisores/as. </w:t>
            </w:r>
          </w:p>
          <w:p w14:paraId="47E29360" w14:textId="77777777" w:rsidR="007A5B1C" w:rsidRDefault="00572BDF">
            <w:pPr>
              <w:ind w:left="0" w:hanging="2"/>
              <w:jc w:val="both"/>
              <w:rPr>
                <w:sz w:val="22"/>
                <w:szCs w:val="22"/>
              </w:rPr>
            </w:pPr>
            <w:r>
              <w:t>Critérios de avaliação: Frequência e participação nas atividades, diário de campo, elaboração de documento com a caracterização e análise institucional, com base em modelo aprovado no Colegiado de Graduação em Serviço Social da UFBA; e, autoavaliação.</w:t>
            </w:r>
          </w:p>
        </w:tc>
      </w:tr>
    </w:tbl>
    <w:p w14:paraId="64EE234E" w14:textId="77777777" w:rsidR="007A5B1C" w:rsidRDefault="007A5B1C">
      <w:pPr>
        <w:ind w:left="0" w:hanging="2"/>
        <w:rPr>
          <w:sz w:val="22"/>
          <w:szCs w:val="22"/>
        </w:rPr>
      </w:pPr>
    </w:p>
    <w:tbl>
      <w:tblPr>
        <w:tblStyle w:val="a5"/>
        <w:tblW w:w="104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9"/>
      </w:tblGrid>
      <w:tr w:rsidR="007A5B1C" w14:paraId="443BA228" w14:textId="77777777">
        <w:trPr>
          <w:jc w:val="center"/>
        </w:trPr>
        <w:tc>
          <w:tcPr>
            <w:tcW w:w="10489" w:type="dxa"/>
            <w:tcBorders>
              <w:top w:val="single" w:sz="4" w:space="0" w:color="000000"/>
              <w:left w:val="nil"/>
              <w:bottom w:val="single" w:sz="4" w:space="0" w:color="000000"/>
              <w:right w:val="nil"/>
            </w:tcBorders>
          </w:tcPr>
          <w:p w14:paraId="1ECD4779" w14:textId="77777777" w:rsidR="007A5B1C" w:rsidRDefault="00572BDF">
            <w:pPr>
              <w:spacing w:before="40" w:after="40"/>
              <w:ind w:left="0" w:hanging="2"/>
              <w:jc w:val="center"/>
              <w:rPr>
                <w:sz w:val="22"/>
                <w:szCs w:val="22"/>
              </w:rPr>
            </w:pPr>
            <w:r>
              <w:rPr>
                <w:b/>
                <w:sz w:val="22"/>
                <w:szCs w:val="22"/>
              </w:rPr>
              <w:t>BIBLIOGRAFIA BÁSICA</w:t>
            </w:r>
          </w:p>
        </w:tc>
      </w:tr>
      <w:tr w:rsidR="007A5B1C" w14:paraId="66EDC0E2" w14:textId="77777777">
        <w:trPr>
          <w:jc w:val="center"/>
        </w:trPr>
        <w:tc>
          <w:tcPr>
            <w:tcW w:w="10489" w:type="dxa"/>
            <w:tcBorders>
              <w:top w:val="single" w:sz="4" w:space="0" w:color="000000"/>
              <w:left w:val="nil"/>
              <w:bottom w:val="single" w:sz="4" w:space="0" w:color="000000"/>
              <w:right w:val="nil"/>
            </w:tcBorders>
          </w:tcPr>
          <w:p w14:paraId="3EC8B106" w14:textId="77777777" w:rsidR="007A5B1C" w:rsidRDefault="007A5B1C">
            <w:pPr>
              <w:ind w:left="0" w:hanging="2"/>
              <w:jc w:val="both"/>
              <w:rPr>
                <w:color w:val="FF0000"/>
              </w:rPr>
            </w:pPr>
          </w:p>
          <w:p w14:paraId="343BFA83" w14:textId="77777777" w:rsidR="007A5B1C" w:rsidRDefault="00572BDF">
            <w:pPr>
              <w:ind w:left="0" w:hanging="2"/>
              <w:jc w:val="both"/>
            </w:pPr>
            <w:r>
              <w:lastRenderedPageBreak/>
              <w:t xml:space="preserve">ABEPSS. </w:t>
            </w:r>
            <w:r>
              <w:rPr>
                <w:b/>
              </w:rPr>
              <w:t>Política Nacional de Estágio</w:t>
            </w:r>
            <w:r>
              <w:t>. Brasília, DF: 2009.</w:t>
            </w:r>
          </w:p>
          <w:p w14:paraId="7C064A6E" w14:textId="77777777" w:rsidR="007A5B1C" w:rsidRDefault="007A5B1C">
            <w:pPr>
              <w:ind w:left="0" w:hanging="2"/>
              <w:jc w:val="both"/>
            </w:pPr>
          </w:p>
          <w:p w14:paraId="18624BCF" w14:textId="77777777" w:rsidR="007A5B1C" w:rsidRDefault="00572BDF">
            <w:pPr>
              <w:widowControl w:val="0"/>
              <w:spacing w:before="120" w:after="120" w:line="360" w:lineRule="auto"/>
              <w:ind w:left="0" w:hanging="2"/>
              <w:jc w:val="both"/>
              <w:rPr>
                <w:rFonts w:ascii="Arial" w:eastAsia="Arial" w:hAnsi="Arial" w:cs="Arial"/>
                <w:sz w:val="20"/>
                <w:szCs w:val="20"/>
              </w:rPr>
            </w:pPr>
            <w:r>
              <w:rPr>
                <w:rFonts w:ascii="Arial" w:eastAsia="Arial" w:hAnsi="Arial" w:cs="Arial"/>
                <w:sz w:val="20"/>
                <w:szCs w:val="20"/>
              </w:rPr>
              <w:t xml:space="preserve">BRASIL. </w:t>
            </w:r>
            <w:r>
              <w:rPr>
                <w:b/>
              </w:rPr>
              <w:t>Código de  ética do/a assistente social</w:t>
            </w:r>
            <w:r>
              <w:rPr>
                <w:rFonts w:ascii="Arial" w:eastAsia="Arial" w:hAnsi="Arial" w:cs="Arial"/>
                <w:b/>
                <w:sz w:val="20"/>
                <w:szCs w:val="20"/>
              </w:rPr>
              <w:t>. Lei  Nº 8.662/93 de regulamentação da profissão.</w:t>
            </w:r>
            <w:r>
              <w:rPr>
                <w:rFonts w:ascii="Arial" w:eastAsia="Arial" w:hAnsi="Arial" w:cs="Arial"/>
                <w:sz w:val="20"/>
                <w:szCs w:val="20"/>
              </w:rPr>
              <w:t xml:space="preserve"> 10.ed. Brasília: CFESS, 2012.</w:t>
            </w:r>
          </w:p>
          <w:p w14:paraId="0E0302C5" w14:textId="77777777" w:rsidR="007A5B1C" w:rsidRDefault="00572BDF">
            <w:pPr>
              <w:widowControl w:val="0"/>
              <w:spacing w:before="120" w:after="120" w:line="360" w:lineRule="auto"/>
              <w:ind w:left="0" w:hanging="2"/>
              <w:jc w:val="both"/>
              <w:rPr>
                <w:rFonts w:ascii="Arial" w:eastAsia="Arial" w:hAnsi="Arial" w:cs="Arial"/>
                <w:sz w:val="20"/>
                <w:szCs w:val="20"/>
              </w:rPr>
            </w:pPr>
            <w:r>
              <w:rPr>
                <w:rFonts w:ascii="Arial" w:eastAsia="Arial" w:hAnsi="Arial" w:cs="Arial"/>
                <w:sz w:val="20"/>
                <w:szCs w:val="20"/>
              </w:rPr>
              <w:t>BRASIL. Lei 11.788, de 25 de setembro de 2008. Dispõe sobre o estágio de estudantes. Brasília, 2008.</w:t>
            </w:r>
          </w:p>
          <w:p w14:paraId="248DE662" w14:textId="77777777" w:rsidR="007A5B1C" w:rsidRDefault="00572BDF">
            <w:pPr>
              <w:pBdr>
                <w:top w:val="nil"/>
                <w:left w:val="nil"/>
                <w:bottom w:val="nil"/>
                <w:right w:val="nil"/>
                <w:between w:val="nil"/>
              </w:pBdr>
              <w:spacing w:after="120" w:line="240" w:lineRule="auto"/>
              <w:ind w:left="0" w:hanging="2"/>
              <w:jc w:val="both"/>
              <w:rPr>
                <w:color w:val="000000"/>
              </w:rPr>
            </w:pPr>
            <w:r>
              <w:rPr>
                <w:rFonts w:ascii="Arial" w:eastAsia="Arial" w:hAnsi="Arial" w:cs="Arial"/>
                <w:color w:val="000000"/>
                <w:sz w:val="20"/>
                <w:szCs w:val="20"/>
              </w:rPr>
              <w:t xml:space="preserve">_______. </w:t>
            </w:r>
            <w:r>
              <w:rPr>
                <w:rFonts w:ascii="Arial" w:eastAsia="Arial" w:hAnsi="Arial" w:cs="Arial"/>
                <w:b/>
                <w:color w:val="000000"/>
                <w:sz w:val="20"/>
                <w:szCs w:val="20"/>
              </w:rPr>
              <w:t>Resolução</w:t>
            </w:r>
            <w:r>
              <w:rPr>
                <w:rFonts w:ascii="Arial" w:eastAsia="Arial" w:hAnsi="Arial" w:cs="Arial"/>
                <w:color w:val="000000"/>
                <w:sz w:val="20"/>
                <w:szCs w:val="20"/>
              </w:rPr>
              <w:t xml:space="preserve"> 493/2006. Dispõe sobre as condições éticas e técnicas do exercício profissional do assistente social.Brasília, CFESS, 2006. Disponível em </w:t>
            </w:r>
            <w:hyperlink r:id="rId7">
              <w:r>
                <w:rPr>
                  <w:rFonts w:ascii="Arial" w:eastAsia="Arial" w:hAnsi="Arial" w:cs="Arial"/>
                  <w:color w:val="0000FF"/>
                  <w:sz w:val="20"/>
                  <w:szCs w:val="20"/>
                  <w:u w:val="single"/>
                </w:rPr>
                <w:t>http://www.cfess.org.br</w:t>
              </w:r>
            </w:hyperlink>
            <w:r>
              <w:rPr>
                <w:rFonts w:ascii="Arial" w:eastAsia="Arial" w:hAnsi="Arial" w:cs="Arial"/>
                <w:color w:val="000000"/>
                <w:sz w:val="20"/>
                <w:szCs w:val="20"/>
              </w:rPr>
              <w:t>, 2011;</w:t>
            </w:r>
          </w:p>
          <w:p w14:paraId="72CBF485" w14:textId="77777777" w:rsidR="007A5B1C" w:rsidRDefault="00572BDF">
            <w:pPr>
              <w:ind w:left="0" w:hanging="2"/>
              <w:jc w:val="both"/>
            </w:pPr>
            <w:r>
              <w:t xml:space="preserve">_______. </w:t>
            </w:r>
            <w:r>
              <w:rPr>
                <w:b/>
              </w:rPr>
              <w:t xml:space="preserve">Resolução 533. </w:t>
            </w:r>
            <w:r>
              <w:t xml:space="preserve">Dispõe sobre a fiscalização aos campos de estágio. Brasília, DF, 2008; </w:t>
            </w:r>
            <w:r>
              <w:rPr>
                <w:rFonts w:ascii="Arial" w:eastAsia="Arial" w:hAnsi="Arial" w:cs="Arial"/>
                <w:sz w:val="20"/>
                <w:szCs w:val="20"/>
              </w:rPr>
              <w:t xml:space="preserve">Disponível em </w:t>
            </w:r>
            <w:hyperlink r:id="rId8">
              <w:r>
                <w:rPr>
                  <w:rFonts w:ascii="Arial" w:eastAsia="Arial" w:hAnsi="Arial" w:cs="Arial"/>
                  <w:color w:val="0000FF"/>
                  <w:sz w:val="20"/>
                  <w:szCs w:val="20"/>
                  <w:u w:val="single"/>
                </w:rPr>
                <w:t>http://www.cfess.org.br</w:t>
              </w:r>
            </w:hyperlink>
            <w:r>
              <w:rPr>
                <w:rFonts w:ascii="Arial" w:eastAsia="Arial" w:hAnsi="Arial" w:cs="Arial"/>
                <w:sz w:val="20"/>
                <w:szCs w:val="20"/>
              </w:rPr>
              <w:t xml:space="preserve"> ,2011;</w:t>
            </w:r>
          </w:p>
          <w:p w14:paraId="157097FE" w14:textId="77777777" w:rsidR="007A5B1C" w:rsidRDefault="00572BDF">
            <w:pPr>
              <w:widowControl w:val="0"/>
              <w:spacing w:before="120" w:after="120"/>
              <w:ind w:left="0" w:hanging="2"/>
              <w:jc w:val="both"/>
            </w:pPr>
            <w:r>
              <w:t xml:space="preserve">______. </w:t>
            </w:r>
            <w:r>
              <w:rPr>
                <w:b/>
              </w:rPr>
              <w:t>Resolução</w:t>
            </w:r>
            <w:r>
              <w:t xml:space="preserve"> 569/2010. Dispõe sobre a VEDAÇÃO da realização de terapias associadas ao título e/ou ao exercício profissional do assistente social. Brasília, CFESS: 2010.</w:t>
            </w:r>
            <w:r>
              <w:rPr>
                <w:rFonts w:ascii="Arial" w:eastAsia="Arial" w:hAnsi="Arial" w:cs="Arial"/>
                <w:sz w:val="20"/>
                <w:szCs w:val="20"/>
              </w:rPr>
              <w:t xml:space="preserve"> Disponível em </w:t>
            </w:r>
            <w:hyperlink r:id="rId9">
              <w:r>
                <w:rPr>
                  <w:rFonts w:ascii="Arial" w:eastAsia="Arial" w:hAnsi="Arial" w:cs="Arial"/>
                  <w:color w:val="0000FF"/>
                  <w:sz w:val="20"/>
                  <w:szCs w:val="20"/>
                  <w:u w:val="single"/>
                </w:rPr>
                <w:t>http://www.cfess.org.br</w:t>
              </w:r>
            </w:hyperlink>
            <w:r>
              <w:rPr>
                <w:rFonts w:ascii="Arial" w:eastAsia="Arial" w:hAnsi="Arial" w:cs="Arial"/>
                <w:sz w:val="20"/>
                <w:szCs w:val="20"/>
              </w:rPr>
              <w:t xml:space="preserve"> , 2011;</w:t>
            </w:r>
          </w:p>
          <w:p w14:paraId="1B83A08D" w14:textId="77777777" w:rsidR="007A5B1C" w:rsidRDefault="00572BDF">
            <w:pPr>
              <w:widowControl w:val="0"/>
              <w:spacing w:before="120" w:after="120" w:line="360" w:lineRule="auto"/>
              <w:ind w:left="0" w:hanging="2"/>
              <w:jc w:val="both"/>
            </w:pPr>
            <w:r>
              <w:t>CFESS/ABEPSS</w:t>
            </w:r>
            <w:r>
              <w:rPr>
                <w:b/>
              </w:rPr>
              <w:t xml:space="preserve">. Serviço Social: direitos sociais e competências profissionais. </w:t>
            </w:r>
            <w:r>
              <w:t>Brasília: CFESS/ABEPSS, 2009.</w:t>
            </w:r>
          </w:p>
          <w:p w14:paraId="23B2FA52" w14:textId="77777777" w:rsidR="007A5B1C" w:rsidRDefault="00572BDF">
            <w:pPr>
              <w:widowControl w:val="0"/>
              <w:spacing w:before="120" w:after="120" w:line="360" w:lineRule="auto"/>
              <w:ind w:left="0" w:hanging="2"/>
              <w:jc w:val="both"/>
            </w:pPr>
            <w:r>
              <w:t>CFESS. Cartilha Estágio Supervisionado: Meia Formação não garante um direito. Brasília, CFESS: 2013. Disponível em: http://www.cfess.org.br/arquivos/BROCHURACFESS_ESTAGIO-SUPERVISIONADO.pdf</w:t>
            </w:r>
          </w:p>
          <w:p w14:paraId="2439DF00" w14:textId="77777777" w:rsidR="007A5B1C" w:rsidRDefault="00572BDF">
            <w:pPr>
              <w:ind w:left="0" w:hanging="2"/>
              <w:jc w:val="both"/>
              <w:rPr>
                <w:sz w:val="22"/>
                <w:szCs w:val="22"/>
              </w:rPr>
            </w:pPr>
            <w:r>
              <w:rPr>
                <w:sz w:val="22"/>
                <w:szCs w:val="22"/>
              </w:rPr>
              <w:t xml:space="preserve">CFESS. </w:t>
            </w:r>
            <w:r>
              <w:rPr>
                <w:b/>
                <w:sz w:val="22"/>
                <w:szCs w:val="22"/>
              </w:rPr>
              <w:t>Atribuições privativas do assistente social em questão</w:t>
            </w:r>
            <w:r>
              <w:rPr>
                <w:sz w:val="22"/>
                <w:szCs w:val="22"/>
              </w:rPr>
              <w:t xml:space="preserve">. </w:t>
            </w:r>
            <w:r>
              <w:t>Brasília, CFESS: 2012.</w:t>
            </w:r>
          </w:p>
          <w:p w14:paraId="5B2CDA37" w14:textId="77777777" w:rsidR="007A5B1C" w:rsidRDefault="007A5B1C">
            <w:pPr>
              <w:ind w:left="0" w:hanging="2"/>
              <w:jc w:val="both"/>
            </w:pPr>
          </w:p>
          <w:p w14:paraId="62BC5A4D" w14:textId="77777777" w:rsidR="007A5B1C" w:rsidRDefault="00572BDF">
            <w:pPr>
              <w:ind w:left="0" w:hanging="2"/>
              <w:jc w:val="both"/>
            </w:pPr>
            <w:r>
              <w:t>CRESS-7</w:t>
            </w:r>
            <w:r>
              <w:rPr>
                <w:vertAlign w:val="superscript"/>
              </w:rPr>
              <w:t>a</w:t>
            </w:r>
            <w:r>
              <w:t xml:space="preserve"> Região. </w:t>
            </w:r>
            <w:r>
              <w:rPr>
                <w:b/>
              </w:rPr>
              <w:t xml:space="preserve">Coletânea de Leis e Resoluções: </w:t>
            </w:r>
            <w:r>
              <w:t>assistente social, ética e direitos</w:t>
            </w:r>
            <w:r>
              <w:rPr>
                <w:b/>
              </w:rPr>
              <w:t xml:space="preserve">.   </w:t>
            </w:r>
            <w:r>
              <w:t>4</w:t>
            </w:r>
            <w:r>
              <w:rPr>
                <w:vertAlign w:val="superscript"/>
              </w:rPr>
              <w:t>a</w:t>
            </w:r>
            <w:r>
              <w:t xml:space="preserve"> ed. Rio de janeiro, 2004;</w:t>
            </w:r>
          </w:p>
          <w:p w14:paraId="6EE13282" w14:textId="77777777" w:rsidR="007A5B1C" w:rsidRDefault="007A5B1C">
            <w:pPr>
              <w:ind w:left="0" w:hanging="2"/>
              <w:jc w:val="both"/>
              <w:rPr>
                <w:rFonts w:ascii="Arial" w:eastAsia="Arial" w:hAnsi="Arial" w:cs="Arial"/>
                <w:sz w:val="20"/>
                <w:szCs w:val="20"/>
              </w:rPr>
            </w:pPr>
          </w:p>
          <w:p w14:paraId="505B8CB4" w14:textId="77777777" w:rsidR="007A5B1C" w:rsidRDefault="00572BDF">
            <w:pPr>
              <w:ind w:left="0" w:hanging="2"/>
              <w:jc w:val="both"/>
              <w:rPr>
                <w:rFonts w:ascii="Arial" w:eastAsia="Arial" w:hAnsi="Arial" w:cs="Arial"/>
                <w:sz w:val="20"/>
                <w:szCs w:val="20"/>
              </w:rPr>
            </w:pPr>
            <w:r>
              <w:rPr>
                <w:rFonts w:ascii="Arial" w:eastAsia="Arial" w:hAnsi="Arial" w:cs="Arial"/>
                <w:sz w:val="20"/>
                <w:szCs w:val="20"/>
              </w:rPr>
              <w:t xml:space="preserve">FALEIROS, Vicente de Paula. </w:t>
            </w:r>
            <w:r>
              <w:rPr>
                <w:rFonts w:ascii="Arial" w:eastAsia="Arial" w:hAnsi="Arial" w:cs="Arial"/>
                <w:b/>
                <w:sz w:val="20"/>
                <w:szCs w:val="20"/>
              </w:rPr>
              <w:t xml:space="preserve">Estratégias em serviço social. </w:t>
            </w:r>
            <w:r>
              <w:rPr>
                <w:rFonts w:ascii="Arial" w:eastAsia="Arial" w:hAnsi="Arial" w:cs="Arial"/>
                <w:sz w:val="20"/>
                <w:szCs w:val="20"/>
              </w:rPr>
              <w:t>7.ed. São Paulo:Cortez, 2007.</w:t>
            </w:r>
          </w:p>
          <w:p w14:paraId="6331A962" w14:textId="77777777" w:rsidR="007A5B1C" w:rsidRDefault="00572BDF">
            <w:pPr>
              <w:widowControl w:val="0"/>
              <w:spacing w:before="120" w:after="120"/>
              <w:ind w:left="0" w:hanging="2"/>
              <w:jc w:val="both"/>
            </w:pPr>
            <w:r>
              <w:t>IAMAMOTO, Marilda V. Os espaços sócio-ocupacionais do assistente social.</w:t>
            </w:r>
            <w:r>
              <w:rPr>
                <w:color w:val="000000"/>
              </w:rPr>
              <w:t xml:space="preserve"> In:</w:t>
            </w:r>
            <w:r>
              <w:t xml:space="preserve"> CFESS/ABEPSS</w:t>
            </w:r>
            <w:r>
              <w:rPr>
                <w:b/>
              </w:rPr>
              <w:t xml:space="preserve">. Serviço Social: </w:t>
            </w:r>
            <w:r>
              <w:t>direitos sociais e competências profissionais. Brasília: CFESS/ABEPSS, 2009.</w:t>
            </w:r>
          </w:p>
          <w:p w14:paraId="033C0632" w14:textId="77777777" w:rsidR="007A5B1C" w:rsidRDefault="00572BDF">
            <w:pPr>
              <w:widowControl w:val="0"/>
              <w:spacing w:before="120" w:after="120"/>
              <w:ind w:left="0" w:hanging="2"/>
              <w:jc w:val="both"/>
              <w:rPr>
                <w:color w:val="000000"/>
              </w:rPr>
            </w:pPr>
            <w:r>
              <w:rPr>
                <w:b/>
              </w:rPr>
              <w:t xml:space="preserve"> ______. </w:t>
            </w:r>
            <w:r>
              <w:t>O Serviço Social na cena contemporânea</w:t>
            </w:r>
            <w:r>
              <w:rPr>
                <w:i/>
              </w:rPr>
              <w:t xml:space="preserve">. </w:t>
            </w:r>
            <w:r>
              <w:rPr>
                <w:color w:val="000000"/>
              </w:rPr>
              <w:t>In:</w:t>
            </w:r>
            <w:r>
              <w:t xml:space="preserve"> CFESS/ABEPSS</w:t>
            </w:r>
            <w:r>
              <w:rPr>
                <w:b/>
              </w:rPr>
              <w:t xml:space="preserve">. Serviço Social: </w:t>
            </w:r>
            <w:r>
              <w:t>direitos sociais e competências profissionais. Brasília: CFESS/ABEPSS, 2009.</w:t>
            </w:r>
            <w:r>
              <w:rPr>
                <w:color w:val="000000"/>
              </w:rPr>
              <w:t xml:space="preserve"> </w:t>
            </w:r>
          </w:p>
          <w:p w14:paraId="30C66DBA" w14:textId="77777777" w:rsidR="007A5B1C" w:rsidRDefault="00572BDF">
            <w:pPr>
              <w:widowControl w:val="0"/>
              <w:spacing w:before="120" w:after="120"/>
              <w:ind w:left="0" w:hanging="2"/>
              <w:jc w:val="both"/>
              <w:rPr>
                <w:color w:val="000000"/>
              </w:rPr>
            </w:pPr>
            <w:r>
              <w:t>LEWGOY, Alzira M. B</w:t>
            </w:r>
            <w:r>
              <w:rPr>
                <w:color w:val="000000"/>
              </w:rPr>
              <w:t xml:space="preserve">. </w:t>
            </w:r>
            <w:r>
              <w:rPr>
                <w:b/>
                <w:color w:val="000000"/>
              </w:rPr>
              <w:t>O estágio supervisionado em serviço social</w:t>
            </w:r>
            <w:r>
              <w:rPr>
                <w:color w:val="000000"/>
              </w:rPr>
              <w:t>: desafios e estratégias para a articulação entre formação e exercício profissional. Temporalis: Brasília (DF), ano 13, n. 25, p. 63-90, jan./jun. 2013.</w:t>
            </w:r>
          </w:p>
          <w:p w14:paraId="476C4FF0" w14:textId="77777777" w:rsidR="007A5B1C" w:rsidRDefault="00572BDF">
            <w:pPr>
              <w:spacing w:after="240"/>
              <w:ind w:left="0" w:hanging="2"/>
            </w:pPr>
            <w:r>
              <w:t xml:space="preserve">LUBISCO, N. M. L.; VIEIRA, S. C.; SANTANA, I. V. </w:t>
            </w:r>
            <w:r>
              <w:rPr>
                <w:b/>
              </w:rPr>
              <w:t>Manual de estilo acadêmico: monografias, dissertações e teses</w:t>
            </w:r>
            <w:r>
              <w:t>. 4a ed. Salvador: EDUFBA, 2008</w:t>
            </w:r>
          </w:p>
          <w:p w14:paraId="21439317" w14:textId="77777777" w:rsidR="007A5B1C" w:rsidRDefault="00572BDF">
            <w:pPr>
              <w:tabs>
                <w:tab w:val="left" w:pos="7340"/>
              </w:tabs>
              <w:ind w:left="0" w:hanging="2"/>
              <w:jc w:val="both"/>
            </w:pPr>
            <w:r>
              <w:t xml:space="preserve">MINAYO, Cecília de Souza. </w:t>
            </w:r>
            <w:r>
              <w:rPr>
                <w:b/>
              </w:rPr>
              <w:t>Pesquisa Social: teoria, método e criatividade</w:t>
            </w:r>
            <w:r>
              <w:t>. 4º ed. Petrópolis: Vozes, 1995.</w:t>
            </w:r>
          </w:p>
          <w:p w14:paraId="386E9839" w14:textId="77777777" w:rsidR="007A5B1C" w:rsidRDefault="007A5B1C">
            <w:pPr>
              <w:tabs>
                <w:tab w:val="left" w:pos="7340"/>
              </w:tabs>
              <w:ind w:left="0" w:hanging="2"/>
              <w:jc w:val="both"/>
            </w:pPr>
          </w:p>
          <w:p w14:paraId="05D28566" w14:textId="77777777" w:rsidR="007A5B1C" w:rsidRDefault="00572BDF">
            <w:pPr>
              <w:tabs>
                <w:tab w:val="left" w:pos="7340"/>
              </w:tabs>
              <w:ind w:left="0" w:hanging="2"/>
              <w:jc w:val="both"/>
            </w:pPr>
            <w:r>
              <w:t>MIOTO, Regina Celia Tamaso. Estudos socioeconômicos</w:t>
            </w:r>
            <w:r>
              <w:rPr>
                <w:b/>
              </w:rPr>
              <w:t xml:space="preserve">. </w:t>
            </w:r>
            <w:r>
              <w:t>In:</w:t>
            </w:r>
            <w:r>
              <w:rPr>
                <w:b/>
              </w:rPr>
              <w:t xml:space="preserve"> Serviço Social</w:t>
            </w:r>
            <w:r>
              <w:t>: direitos sociais e competências profissionais.</w:t>
            </w:r>
            <w:r>
              <w:rPr>
                <w:b/>
              </w:rPr>
              <w:t xml:space="preserve"> </w:t>
            </w:r>
            <w:r>
              <w:t>Brasília: CFESS/ABEPSS, 2009.</w:t>
            </w:r>
          </w:p>
          <w:p w14:paraId="7854407D" w14:textId="77777777" w:rsidR="007A5B1C" w:rsidRDefault="007A5B1C">
            <w:pPr>
              <w:tabs>
                <w:tab w:val="left" w:pos="7340"/>
              </w:tabs>
              <w:ind w:left="0" w:hanging="2"/>
              <w:jc w:val="both"/>
            </w:pPr>
          </w:p>
          <w:p w14:paraId="533B0294" w14:textId="77777777" w:rsidR="007A5B1C" w:rsidRDefault="00572BDF">
            <w:pPr>
              <w:tabs>
                <w:tab w:val="left" w:pos="7340"/>
              </w:tabs>
              <w:ind w:left="0" w:hanging="2"/>
              <w:jc w:val="both"/>
            </w:pPr>
            <w:r>
              <w:t xml:space="preserve">______________. </w:t>
            </w:r>
            <w:r>
              <w:rPr>
                <w:b/>
              </w:rPr>
              <w:t xml:space="preserve">Orientação e acompanhamento de indivíduos, grupos e famílias. </w:t>
            </w:r>
            <w:r>
              <w:t>In:</w:t>
            </w:r>
            <w:r>
              <w:rPr>
                <w:b/>
              </w:rPr>
              <w:t xml:space="preserve"> </w:t>
            </w:r>
            <w:r>
              <w:t>Serviço Social: direitos sociais e competências profissionais.</w:t>
            </w:r>
            <w:r>
              <w:rPr>
                <w:b/>
              </w:rPr>
              <w:t xml:space="preserve"> </w:t>
            </w:r>
            <w:r>
              <w:t>Brasília: CFESS/ABEPSS, 2009.</w:t>
            </w:r>
          </w:p>
          <w:p w14:paraId="19DEDBAF" w14:textId="77777777" w:rsidR="007A5B1C" w:rsidRDefault="007A5B1C">
            <w:pPr>
              <w:tabs>
                <w:tab w:val="left" w:pos="7340"/>
              </w:tabs>
              <w:ind w:left="0" w:hanging="2"/>
              <w:jc w:val="both"/>
            </w:pPr>
          </w:p>
          <w:p w14:paraId="159E7BFA" w14:textId="77777777" w:rsidR="007A5B1C" w:rsidRDefault="00572BDF">
            <w:pPr>
              <w:tabs>
                <w:tab w:val="left" w:pos="7340"/>
              </w:tabs>
              <w:ind w:left="0" w:hanging="2"/>
              <w:jc w:val="both"/>
            </w:pPr>
            <w:r>
              <w:t xml:space="preserve">PEREIRA, Potyara Amazoneida P. </w:t>
            </w:r>
            <w:r>
              <w:rPr>
                <w:b/>
              </w:rPr>
              <w:t xml:space="preserve">Proteção Social Contemporânea: </w:t>
            </w:r>
            <w:r>
              <w:rPr>
                <w:i/>
              </w:rPr>
              <w:t>cui prodest</w:t>
            </w:r>
            <w:r>
              <w:t>? São Paulo, Serviço Social &amp; Sociedade n. 116, p. 636-651, out./dez. 2013.</w:t>
            </w:r>
          </w:p>
          <w:p w14:paraId="7C06F085" w14:textId="77777777" w:rsidR="007A5B1C" w:rsidRDefault="007A5B1C">
            <w:pPr>
              <w:tabs>
                <w:tab w:val="left" w:pos="7340"/>
              </w:tabs>
              <w:ind w:left="0" w:hanging="2"/>
              <w:jc w:val="both"/>
            </w:pPr>
          </w:p>
          <w:p w14:paraId="31462231" w14:textId="77777777" w:rsidR="007A5B1C" w:rsidRDefault="00572BDF">
            <w:pPr>
              <w:tabs>
                <w:tab w:val="left" w:pos="7340"/>
              </w:tabs>
              <w:ind w:left="0" w:hanging="2"/>
              <w:jc w:val="both"/>
              <w:rPr>
                <w:rFonts w:ascii="Arial" w:eastAsia="Arial" w:hAnsi="Arial" w:cs="Arial"/>
                <w:color w:val="000000"/>
                <w:sz w:val="20"/>
                <w:szCs w:val="20"/>
              </w:rPr>
            </w:pPr>
            <w:r>
              <w:rPr>
                <w:rFonts w:ascii="Arial" w:eastAsia="Arial" w:hAnsi="Arial" w:cs="Arial"/>
                <w:color w:val="000000"/>
                <w:sz w:val="20"/>
                <w:szCs w:val="20"/>
              </w:rPr>
              <w:t>NETTO, José Paulo</w:t>
            </w:r>
            <w:r>
              <w:rPr>
                <w:rFonts w:ascii="Arial" w:eastAsia="Arial" w:hAnsi="Arial" w:cs="Arial"/>
                <w:b/>
                <w:color w:val="000000"/>
                <w:sz w:val="20"/>
                <w:szCs w:val="20"/>
              </w:rPr>
              <w:t xml:space="preserve">. </w:t>
            </w:r>
            <w:r>
              <w:rPr>
                <w:rFonts w:ascii="Arial" w:eastAsia="Arial" w:hAnsi="Arial" w:cs="Arial"/>
                <w:color w:val="000000"/>
                <w:sz w:val="20"/>
                <w:szCs w:val="20"/>
              </w:rPr>
              <w:t xml:space="preserve">A construção do projeto ético-político do serviço social. In MOTA, Ana Elisabete et al.(Orgs). </w:t>
            </w:r>
            <w:r>
              <w:rPr>
                <w:rFonts w:ascii="Arial" w:eastAsia="Arial" w:hAnsi="Arial" w:cs="Arial"/>
                <w:b/>
                <w:color w:val="000000"/>
                <w:sz w:val="20"/>
                <w:szCs w:val="20"/>
              </w:rPr>
              <w:t xml:space="preserve">Serviço social e saúde: </w:t>
            </w:r>
            <w:r>
              <w:rPr>
                <w:rFonts w:ascii="Arial" w:eastAsia="Arial" w:hAnsi="Arial" w:cs="Arial"/>
                <w:color w:val="000000"/>
                <w:sz w:val="20"/>
                <w:szCs w:val="20"/>
              </w:rPr>
              <w:t>formação e trabalho profissional</w:t>
            </w:r>
            <w:r>
              <w:rPr>
                <w:rFonts w:ascii="Arial" w:eastAsia="Arial" w:hAnsi="Arial" w:cs="Arial"/>
                <w:b/>
                <w:color w:val="000000"/>
                <w:sz w:val="20"/>
                <w:szCs w:val="20"/>
              </w:rPr>
              <w:t xml:space="preserve"> – </w:t>
            </w:r>
            <w:r>
              <w:rPr>
                <w:rFonts w:ascii="Arial" w:eastAsia="Arial" w:hAnsi="Arial" w:cs="Arial"/>
                <w:color w:val="000000"/>
                <w:sz w:val="20"/>
                <w:szCs w:val="20"/>
              </w:rPr>
              <w:t>São Paulo: Cortez; Brasília –DF: OPAS, OMS, Ministério da Saúde, 2008.</w:t>
            </w:r>
          </w:p>
          <w:p w14:paraId="6A9A7FA6" w14:textId="77777777" w:rsidR="007A5B1C" w:rsidRDefault="007A5B1C">
            <w:pPr>
              <w:tabs>
                <w:tab w:val="left" w:pos="7340"/>
              </w:tabs>
              <w:ind w:left="0" w:hanging="2"/>
              <w:jc w:val="both"/>
              <w:rPr>
                <w:rFonts w:ascii="Arial" w:eastAsia="Arial" w:hAnsi="Arial" w:cs="Arial"/>
                <w:color w:val="000000"/>
                <w:sz w:val="20"/>
                <w:szCs w:val="20"/>
              </w:rPr>
            </w:pPr>
          </w:p>
          <w:p w14:paraId="441FF8F1" w14:textId="77777777" w:rsidR="007A5B1C" w:rsidRDefault="00572BDF">
            <w:pPr>
              <w:tabs>
                <w:tab w:val="left" w:pos="7340"/>
              </w:tabs>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SAFFIOTI, Heleieth Iara Bongioviani. </w:t>
            </w:r>
            <w:r>
              <w:rPr>
                <w:rFonts w:ascii="Arial" w:eastAsia="Arial" w:hAnsi="Arial" w:cs="Arial"/>
                <w:b/>
                <w:color w:val="000000"/>
                <w:sz w:val="20"/>
                <w:szCs w:val="20"/>
              </w:rPr>
              <w:t>A mulher na sociedade de classes:</w:t>
            </w:r>
            <w:r>
              <w:rPr>
                <w:rFonts w:ascii="Arial" w:eastAsia="Arial" w:hAnsi="Arial" w:cs="Arial"/>
                <w:color w:val="000000"/>
                <w:sz w:val="20"/>
                <w:szCs w:val="20"/>
              </w:rPr>
              <w:t xml:space="preserve"> mito e realidade. 2.ed. Petrópolis: Vozes, 1979.</w:t>
            </w:r>
          </w:p>
          <w:p w14:paraId="199E1623" w14:textId="77777777" w:rsidR="007A5B1C" w:rsidRDefault="007A5B1C">
            <w:pPr>
              <w:tabs>
                <w:tab w:val="left" w:pos="7340"/>
              </w:tabs>
              <w:ind w:left="0" w:hanging="2"/>
              <w:jc w:val="both"/>
              <w:rPr>
                <w:rFonts w:ascii="Arial" w:eastAsia="Arial" w:hAnsi="Arial" w:cs="Arial"/>
                <w:color w:val="000000"/>
                <w:sz w:val="20"/>
                <w:szCs w:val="20"/>
              </w:rPr>
            </w:pPr>
          </w:p>
          <w:p w14:paraId="60C3F55C" w14:textId="77777777" w:rsidR="007A5B1C" w:rsidRDefault="00572BDF">
            <w:pPr>
              <w:tabs>
                <w:tab w:val="left" w:pos="7340"/>
              </w:tabs>
              <w:ind w:left="0" w:hanging="2"/>
              <w:jc w:val="both"/>
            </w:pPr>
            <w:r>
              <w:rPr>
                <w:rFonts w:ascii="Arial" w:eastAsia="Arial" w:hAnsi="Arial" w:cs="Arial"/>
                <w:color w:val="222222"/>
                <w:sz w:val="20"/>
                <w:szCs w:val="20"/>
                <w:highlight w:val="white"/>
              </w:rPr>
              <w:t>SANTOS, Claudia Mônica. </w:t>
            </w:r>
            <w:r>
              <w:rPr>
                <w:rFonts w:ascii="Arial" w:eastAsia="Arial" w:hAnsi="Arial" w:cs="Arial"/>
                <w:b/>
                <w:color w:val="222222"/>
                <w:sz w:val="20"/>
                <w:szCs w:val="20"/>
                <w:highlight w:val="white"/>
              </w:rPr>
              <w:t>Na prática a teoria e outra?:</w:t>
            </w:r>
            <w:r>
              <w:rPr>
                <w:rFonts w:ascii="Arial" w:eastAsia="Arial" w:hAnsi="Arial" w:cs="Arial"/>
                <w:color w:val="222222"/>
                <w:sz w:val="20"/>
                <w:szCs w:val="20"/>
                <w:highlight w:val="white"/>
              </w:rPr>
              <w:t xml:space="preserve"> mitos e dilemas na relação entre teoria, pratica instrumentos e técnicas no Serviço Social. Rio de Janeiro: Lumen Juris, 2011.</w:t>
            </w:r>
          </w:p>
          <w:p w14:paraId="58A8B08C" w14:textId="77777777" w:rsidR="007A5B1C" w:rsidRDefault="007A5B1C">
            <w:pPr>
              <w:tabs>
                <w:tab w:val="left" w:pos="7340"/>
              </w:tabs>
              <w:ind w:left="0" w:hanging="2"/>
              <w:jc w:val="both"/>
            </w:pPr>
          </w:p>
          <w:p w14:paraId="5A89DACD" w14:textId="77777777" w:rsidR="007A5B1C" w:rsidRDefault="00572BDF">
            <w:pPr>
              <w:tabs>
                <w:tab w:val="left" w:pos="7340"/>
              </w:tabs>
              <w:ind w:left="0" w:hanging="2"/>
              <w:jc w:val="both"/>
            </w:pPr>
            <w:r>
              <w:lastRenderedPageBreak/>
              <w:t xml:space="preserve">SANTOS, C. M. ABREU, Maria Helena E. Os impactos da política nacional de estágio na formação profissional frente a universidade neoliberal. </w:t>
            </w:r>
            <w:r>
              <w:rPr>
                <w:b/>
              </w:rPr>
              <w:t>Revista Em Pauta</w:t>
            </w:r>
            <w:r>
              <w:t>, Rio de Janeiro, julho 2011 – p. 127-142.</w:t>
            </w:r>
          </w:p>
          <w:p w14:paraId="759BD28C" w14:textId="77777777" w:rsidR="007A5B1C" w:rsidRDefault="007A5B1C">
            <w:pPr>
              <w:ind w:left="0" w:hanging="2"/>
              <w:jc w:val="both"/>
              <w:rPr>
                <w:sz w:val="22"/>
                <w:szCs w:val="22"/>
              </w:rPr>
            </w:pPr>
          </w:p>
          <w:p w14:paraId="75E92A29" w14:textId="77777777" w:rsidR="007A5B1C" w:rsidRDefault="00572BDF">
            <w:pPr>
              <w:ind w:left="0" w:hanging="2"/>
              <w:jc w:val="both"/>
              <w:rPr>
                <w:sz w:val="22"/>
                <w:szCs w:val="22"/>
              </w:rPr>
            </w:pPr>
            <w:r>
              <w:rPr>
                <w:b/>
                <w:sz w:val="22"/>
                <w:szCs w:val="22"/>
              </w:rPr>
              <w:t xml:space="preserve">BIBLIOGRAFIA COMPLEMENTAR </w:t>
            </w:r>
          </w:p>
          <w:p w14:paraId="0D0356EA" w14:textId="77777777" w:rsidR="007A5B1C" w:rsidRDefault="007A5B1C">
            <w:pPr>
              <w:ind w:left="0" w:hanging="2"/>
              <w:jc w:val="both"/>
            </w:pPr>
          </w:p>
          <w:p w14:paraId="542A17C3" w14:textId="77777777" w:rsidR="007A5B1C" w:rsidRDefault="00572BDF">
            <w:pPr>
              <w:tabs>
                <w:tab w:val="left" w:pos="7340"/>
              </w:tabs>
              <w:ind w:left="0" w:hanging="2"/>
              <w:jc w:val="both"/>
            </w:pPr>
            <w:r>
              <w:t xml:space="preserve">ABNT- ASSOCIAÇÃO BRASILEIRA DE NORMAS TÉCNICAS. Informação e documentação- referências – elaboração. NBR 6023. Rio de Janeiro: agosto de 2000. Disponível em </w:t>
            </w:r>
            <w:hyperlink r:id="rId10">
              <w:r>
                <w:rPr>
                  <w:color w:val="0000FF"/>
                  <w:u w:val="single"/>
                </w:rPr>
                <w:t>www.abnt.org.br</w:t>
              </w:r>
            </w:hyperlink>
            <w:r>
              <w:t>, 2011;</w:t>
            </w:r>
          </w:p>
          <w:p w14:paraId="6DDE7BFD" w14:textId="77777777" w:rsidR="007A5B1C" w:rsidRDefault="007A5B1C">
            <w:pPr>
              <w:tabs>
                <w:tab w:val="left" w:pos="7340"/>
              </w:tabs>
              <w:ind w:left="0" w:hanging="2"/>
              <w:jc w:val="both"/>
            </w:pPr>
          </w:p>
          <w:p w14:paraId="0B47852F" w14:textId="77777777" w:rsidR="007A5B1C" w:rsidRDefault="00572BDF">
            <w:pPr>
              <w:tabs>
                <w:tab w:val="left" w:pos="7340"/>
              </w:tabs>
              <w:ind w:left="0" w:hanging="2"/>
              <w:jc w:val="both"/>
            </w:pPr>
            <w:r>
              <w:t xml:space="preserve">_______________. Informação e documentação: apresentação de citações em documentações. NBR 10520. Rio de Janeiro: julho de 2001. Disponível em </w:t>
            </w:r>
            <w:hyperlink r:id="rId11">
              <w:r>
                <w:rPr>
                  <w:color w:val="0000FF"/>
                  <w:u w:val="single"/>
                </w:rPr>
                <w:t>www.abnt.org.br</w:t>
              </w:r>
            </w:hyperlink>
            <w:r>
              <w:rPr>
                <w:color w:val="0000FF"/>
                <w:u w:val="single"/>
              </w:rPr>
              <w:t xml:space="preserve">, </w:t>
            </w:r>
            <w:r>
              <w:rPr>
                <w:color w:val="000000"/>
              </w:rPr>
              <w:t>2011</w:t>
            </w:r>
            <w:r>
              <w:t>;</w:t>
            </w:r>
          </w:p>
          <w:p w14:paraId="51CD21AF" w14:textId="77777777" w:rsidR="007A5B1C" w:rsidRDefault="007A5B1C">
            <w:pPr>
              <w:tabs>
                <w:tab w:val="left" w:pos="7340"/>
              </w:tabs>
              <w:ind w:left="0" w:hanging="2"/>
              <w:jc w:val="both"/>
            </w:pPr>
          </w:p>
          <w:p w14:paraId="45920699" w14:textId="77777777" w:rsidR="007A5B1C" w:rsidRDefault="00572BDF">
            <w:pPr>
              <w:tabs>
                <w:tab w:val="left" w:pos="7340"/>
              </w:tabs>
              <w:ind w:left="0" w:hanging="2"/>
              <w:jc w:val="both"/>
            </w:pPr>
            <w:r>
              <w:t>ABREU. Marina Maciel; CARDOSO, Franci Gomes. Mobilização social e práticas educativas. In</w:t>
            </w:r>
            <w:r>
              <w:rPr>
                <w:b/>
              </w:rPr>
              <w:t xml:space="preserve"> Serviço Social</w:t>
            </w:r>
            <w:r>
              <w:t>: direitos sociais e competências profissionais.</w:t>
            </w:r>
            <w:r>
              <w:rPr>
                <w:b/>
              </w:rPr>
              <w:t xml:space="preserve"> </w:t>
            </w:r>
            <w:r>
              <w:t>Brasília: CFESS/ABEPSS, 2009.</w:t>
            </w:r>
          </w:p>
          <w:p w14:paraId="0E13F520" w14:textId="77777777" w:rsidR="007A5B1C" w:rsidRDefault="007A5B1C">
            <w:pPr>
              <w:tabs>
                <w:tab w:val="left" w:pos="7340"/>
              </w:tabs>
              <w:ind w:left="0" w:hanging="2"/>
              <w:jc w:val="both"/>
            </w:pPr>
          </w:p>
          <w:p w14:paraId="2EAF826D" w14:textId="77777777" w:rsidR="007A5B1C" w:rsidRDefault="00572BDF">
            <w:pPr>
              <w:ind w:left="0" w:hanging="2"/>
              <w:jc w:val="both"/>
            </w:pPr>
            <w:r>
              <w:t xml:space="preserve">BARROCO, M. L. </w:t>
            </w:r>
            <w:r>
              <w:rPr>
                <w:b/>
              </w:rPr>
              <w:t xml:space="preserve">Ética e Serviço Social: </w:t>
            </w:r>
            <w:r>
              <w:t>fundamentos ontológicos.</w:t>
            </w:r>
            <w:r>
              <w:rPr>
                <w:b/>
              </w:rPr>
              <w:t xml:space="preserve"> </w:t>
            </w:r>
            <w:r>
              <w:t>2</w:t>
            </w:r>
            <w:r>
              <w:rPr>
                <w:vertAlign w:val="superscript"/>
              </w:rPr>
              <w:t>a</w:t>
            </w:r>
            <w:r>
              <w:t xml:space="preserve"> ed. São Paulo: Cortez, 2003 </w:t>
            </w:r>
          </w:p>
          <w:p w14:paraId="1E2B531C" w14:textId="77777777" w:rsidR="007A5B1C" w:rsidRDefault="007A5B1C">
            <w:pPr>
              <w:ind w:left="0" w:hanging="2"/>
              <w:jc w:val="both"/>
            </w:pPr>
          </w:p>
          <w:p w14:paraId="7F2025E5" w14:textId="77777777" w:rsidR="007A5B1C" w:rsidRDefault="00572BDF">
            <w:pPr>
              <w:ind w:left="0" w:hanging="2"/>
              <w:jc w:val="both"/>
            </w:pPr>
            <w:r>
              <w:t xml:space="preserve">BURIOLLA, Marta A. F. </w:t>
            </w:r>
            <w:r>
              <w:rPr>
                <w:b/>
              </w:rPr>
              <w:t>O Estágio supervisionado.</w:t>
            </w:r>
            <w:r>
              <w:t xml:space="preserve"> 5</w:t>
            </w:r>
            <w:r>
              <w:rPr>
                <w:vertAlign w:val="superscript"/>
              </w:rPr>
              <w:t>a</w:t>
            </w:r>
            <w:r>
              <w:t xml:space="preserve"> ed. São Paulo: Cortez, 2008.</w:t>
            </w:r>
          </w:p>
          <w:p w14:paraId="0F5AC266" w14:textId="77777777" w:rsidR="007A5B1C" w:rsidRDefault="007A5B1C">
            <w:pPr>
              <w:ind w:left="0" w:hanging="2"/>
              <w:jc w:val="both"/>
            </w:pPr>
          </w:p>
          <w:p w14:paraId="27E06E71" w14:textId="77777777" w:rsidR="007A5B1C" w:rsidRDefault="00572BDF">
            <w:pPr>
              <w:ind w:left="0" w:hanging="2"/>
              <w:jc w:val="both"/>
            </w:pPr>
            <w:r>
              <w:t xml:space="preserve">FALEIROS, Vicente de Paula. </w:t>
            </w:r>
            <w:r>
              <w:rPr>
                <w:b/>
              </w:rPr>
              <w:t xml:space="preserve">Saber profissional e poder institucional. </w:t>
            </w:r>
            <w:r>
              <w:t>5ª ed. São Paulo: Cortez, 1997.</w:t>
            </w:r>
          </w:p>
          <w:p w14:paraId="67F99F0B" w14:textId="77777777" w:rsidR="007A5B1C" w:rsidRDefault="007A5B1C">
            <w:pPr>
              <w:ind w:left="0" w:hanging="2"/>
              <w:jc w:val="both"/>
            </w:pPr>
          </w:p>
          <w:p w14:paraId="6E575976" w14:textId="77777777" w:rsidR="007A5B1C" w:rsidRDefault="00572BDF">
            <w:pPr>
              <w:pBdr>
                <w:top w:val="nil"/>
                <w:left w:val="nil"/>
                <w:bottom w:val="nil"/>
                <w:right w:val="nil"/>
                <w:between w:val="nil"/>
              </w:pBdr>
              <w:spacing w:before="120" w:after="120" w:line="240" w:lineRule="auto"/>
              <w:ind w:left="0" w:hanging="2"/>
              <w:rPr>
                <w:color w:val="000000"/>
              </w:rPr>
            </w:pPr>
            <w:r>
              <w:rPr>
                <w:color w:val="000000"/>
              </w:rPr>
              <w:t xml:space="preserve">IAMAMOTO, M. V. </w:t>
            </w:r>
            <w:r>
              <w:rPr>
                <w:b/>
                <w:color w:val="000000"/>
              </w:rPr>
              <w:t xml:space="preserve">O serviço social na contemporaneidade: </w:t>
            </w:r>
            <w:r>
              <w:rPr>
                <w:color w:val="000000"/>
              </w:rPr>
              <w:t>trabalho e formação profissional. São Paulo: Cortez, 1998.</w:t>
            </w:r>
          </w:p>
          <w:p w14:paraId="280FF65C" w14:textId="77777777" w:rsidR="007A5B1C" w:rsidRDefault="007A5B1C">
            <w:pPr>
              <w:tabs>
                <w:tab w:val="left" w:pos="7340"/>
              </w:tabs>
              <w:ind w:left="0" w:hanging="2"/>
              <w:jc w:val="both"/>
            </w:pPr>
          </w:p>
          <w:p w14:paraId="076AEFE2" w14:textId="77777777" w:rsidR="007A5B1C" w:rsidRDefault="00572BDF">
            <w:pPr>
              <w:pBdr>
                <w:top w:val="nil"/>
                <w:left w:val="nil"/>
                <w:bottom w:val="nil"/>
                <w:right w:val="nil"/>
                <w:between w:val="nil"/>
              </w:pBdr>
              <w:spacing w:after="120" w:line="240" w:lineRule="auto"/>
              <w:ind w:left="0" w:hanging="2"/>
              <w:jc w:val="both"/>
              <w:rPr>
                <w:color w:val="000000"/>
              </w:rPr>
            </w:pPr>
            <w:r>
              <w:rPr>
                <w:color w:val="000000"/>
              </w:rPr>
              <w:t>MEC-SESU. CONESS/ Comissão de especialistas de Ensino em Serviço Social. In: ABEPSS. Diretrizes Curriculares</w:t>
            </w:r>
          </w:p>
          <w:p w14:paraId="2C815704" w14:textId="77777777" w:rsidR="007A5B1C" w:rsidRDefault="00572BDF">
            <w:pPr>
              <w:pBdr>
                <w:top w:val="nil"/>
                <w:left w:val="nil"/>
                <w:bottom w:val="nil"/>
                <w:right w:val="nil"/>
                <w:between w:val="nil"/>
              </w:pBdr>
              <w:spacing w:after="120" w:line="240" w:lineRule="auto"/>
              <w:ind w:left="0" w:hanging="2"/>
              <w:jc w:val="both"/>
              <w:rPr>
                <w:color w:val="000000"/>
              </w:rPr>
            </w:pPr>
            <w:bookmarkStart w:id="0" w:name="_heading=h.gjdgxs" w:colFirst="0" w:colLast="0"/>
            <w:bookmarkEnd w:id="0"/>
            <w:r>
              <w:rPr>
                <w:color w:val="000000"/>
              </w:rPr>
              <w:t>para o Curso de Serviço Social. Disponível em:  http://www.cfess.org.br/arquivos/legislacao_diretrizes.pdf</w:t>
            </w:r>
          </w:p>
          <w:p w14:paraId="78F40AD8" w14:textId="77777777" w:rsidR="007A5B1C" w:rsidRDefault="007A5B1C">
            <w:pPr>
              <w:tabs>
                <w:tab w:val="left" w:pos="7340"/>
              </w:tabs>
              <w:ind w:left="0" w:hanging="2"/>
              <w:jc w:val="both"/>
              <w:rPr>
                <w:rFonts w:ascii="Arial" w:eastAsia="Arial" w:hAnsi="Arial" w:cs="Arial"/>
                <w:color w:val="000000"/>
                <w:sz w:val="20"/>
                <w:szCs w:val="20"/>
              </w:rPr>
            </w:pPr>
          </w:p>
          <w:p w14:paraId="4550EADE" w14:textId="77777777" w:rsidR="007A5B1C" w:rsidRDefault="00572BDF">
            <w:pPr>
              <w:tabs>
                <w:tab w:val="left" w:pos="7340"/>
              </w:tabs>
              <w:ind w:left="0" w:hanging="2"/>
              <w:jc w:val="both"/>
            </w:pPr>
            <w:r>
              <w:rPr>
                <w:rFonts w:ascii="Arial" w:eastAsia="Arial" w:hAnsi="Arial" w:cs="Arial"/>
                <w:color w:val="000000"/>
                <w:sz w:val="20"/>
                <w:szCs w:val="20"/>
              </w:rPr>
              <w:t xml:space="preserve">MOTA, Ana Elisabete et al.(Orgs). </w:t>
            </w:r>
            <w:r>
              <w:rPr>
                <w:rFonts w:ascii="Arial" w:eastAsia="Arial" w:hAnsi="Arial" w:cs="Arial"/>
                <w:b/>
                <w:sz w:val="20"/>
                <w:szCs w:val="20"/>
              </w:rPr>
              <w:t>Serviço social e saúde:</w:t>
            </w:r>
            <w:r>
              <w:rPr>
                <w:rFonts w:ascii="Arial" w:eastAsia="Arial" w:hAnsi="Arial" w:cs="Arial"/>
                <w:b/>
                <w:color w:val="000000"/>
                <w:sz w:val="20"/>
                <w:szCs w:val="20"/>
              </w:rPr>
              <w:t xml:space="preserve"> </w:t>
            </w:r>
            <w:r>
              <w:rPr>
                <w:rFonts w:ascii="Arial" w:eastAsia="Arial" w:hAnsi="Arial" w:cs="Arial"/>
                <w:color w:val="000000"/>
                <w:sz w:val="20"/>
                <w:szCs w:val="20"/>
              </w:rPr>
              <w:t>formação e trabalho profissional</w:t>
            </w:r>
            <w:r>
              <w:rPr>
                <w:rFonts w:ascii="Arial" w:eastAsia="Arial" w:hAnsi="Arial" w:cs="Arial"/>
                <w:b/>
                <w:color w:val="000000"/>
                <w:sz w:val="20"/>
                <w:szCs w:val="20"/>
              </w:rPr>
              <w:t xml:space="preserve"> – </w:t>
            </w:r>
            <w:r>
              <w:rPr>
                <w:rFonts w:ascii="Arial" w:eastAsia="Arial" w:hAnsi="Arial" w:cs="Arial"/>
                <w:color w:val="000000"/>
                <w:sz w:val="20"/>
                <w:szCs w:val="20"/>
              </w:rPr>
              <w:t>São Paulo: Cortez; Brasília –DF: OPAS, OMS, Ministério da Saúde, 2008.</w:t>
            </w:r>
          </w:p>
          <w:p w14:paraId="4C4F1DCA" w14:textId="77777777" w:rsidR="007A5B1C" w:rsidRDefault="007A5B1C">
            <w:pPr>
              <w:tabs>
                <w:tab w:val="left" w:pos="7340"/>
              </w:tabs>
              <w:ind w:left="0" w:hanging="2"/>
              <w:jc w:val="both"/>
            </w:pPr>
          </w:p>
          <w:p w14:paraId="1236B1BE" w14:textId="77777777" w:rsidR="007A5B1C" w:rsidRDefault="00572BDF">
            <w:pPr>
              <w:ind w:left="0" w:hanging="2"/>
              <w:jc w:val="both"/>
            </w:pPr>
            <w:r>
              <w:t xml:space="preserve">NETTO, José Paulo.  A construção do projeto ético – político do serviço social frente à crise contemporânea. In: CRESS, ABEPSS, CEAD. </w:t>
            </w:r>
            <w:r>
              <w:rPr>
                <w:b/>
              </w:rPr>
              <w:t>Capacitação em serviço social</w:t>
            </w:r>
            <w:r>
              <w:t xml:space="preserve">. Brasília: CRESS, ABEPSS, CEAD/Unb, 1999. </w:t>
            </w:r>
          </w:p>
          <w:p w14:paraId="574D73F4" w14:textId="77777777" w:rsidR="007A5B1C" w:rsidRDefault="007A5B1C">
            <w:pPr>
              <w:tabs>
                <w:tab w:val="left" w:pos="7340"/>
              </w:tabs>
              <w:ind w:left="0" w:hanging="2"/>
              <w:jc w:val="both"/>
            </w:pPr>
          </w:p>
          <w:p w14:paraId="51663EBE" w14:textId="77777777" w:rsidR="007A5B1C" w:rsidRDefault="00572BDF">
            <w:pPr>
              <w:tabs>
                <w:tab w:val="left" w:pos="7340"/>
              </w:tabs>
              <w:ind w:left="0" w:hanging="2"/>
              <w:jc w:val="both"/>
            </w:pPr>
            <w:r>
              <w:t xml:space="preserve">PEREIRA, Potyara A. P. </w:t>
            </w:r>
            <w:r>
              <w:rPr>
                <w:b/>
              </w:rPr>
              <w:t xml:space="preserve">Necessidades humanas: </w:t>
            </w:r>
            <w:r>
              <w:t>subsídios à crítica dos mínimos sociais – São Paulo: Cortez,2007.</w:t>
            </w:r>
          </w:p>
          <w:p w14:paraId="5A81D677" w14:textId="77777777" w:rsidR="007A5B1C" w:rsidRDefault="007A5B1C">
            <w:pPr>
              <w:tabs>
                <w:tab w:val="left" w:pos="7340"/>
              </w:tabs>
              <w:ind w:left="0" w:hanging="2"/>
              <w:jc w:val="both"/>
            </w:pPr>
          </w:p>
          <w:p w14:paraId="420D6C18" w14:textId="77777777" w:rsidR="007A5B1C" w:rsidRDefault="00572BDF">
            <w:pPr>
              <w:spacing w:line="360" w:lineRule="auto"/>
              <w:ind w:left="0" w:hanging="2"/>
              <w:jc w:val="both"/>
            </w:pPr>
            <w:r>
              <w:t xml:space="preserve">SOUZA, Hebert José de. </w:t>
            </w:r>
            <w:r>
              <w:rPr>
                <w:b/>
              </w:rPr>
              <w:t>Como se faz análise de conjuntura</w:t>
            </w:r>
            <w:r>
              <w:t xml:space="preserve">. Petrópolis: Vozes, 1985. </w:t>
            </w:r>
          </w:p>
          <w:p w14:paraId="17F8BEE5" w14:textId="77777777" w:rsidR="007A5B1C" w:rsidRDefault="00572BDF">
            <w:pPr>
              <w:spacing w:line="360" w:lineRule="auto"/>
              <w:ind w:left="0" w:hanging="2"/>
              <w:jc w:val="both"/>
            </w:pPr>
            <w:r>
              <w:t xml:space="preserve">TEIXEIRA, Rodrigo e TEIXEIRA, Leile. </w:t>
            </w:r>
            <w:r>
              <w:rPr>
                <w:b/>
              </w:rPr>
              <w:t>A supervisão acadêmica de estágio em questão</w:t>
            </w:r>
            <w:r>
              <w:t xml:space="preserve">. Campinas, SP v.14, n. 2 (20), p. Serv. Soc. &amp; Saúde. jul./dez. 2015. </w:t>
            </w:r>
          </w:p>
          <w:p w14:paraId="3CC0196E" w14:textId="77777777" w:rsidR="007A5B1C" w:rsidRDefault="007A5B1C">
            <w:pPr>
              <w:tabs>
                <w:tab w:val="left" w:pos="7340"/>
              </w:tabs>
              <w:ind w:left="0" w:hanging="2"/>
              <w:jc w:val="both"/>
            </w:pPr>
          </w:p>
          <w:p w14:paraId="309C5A51" w14:textId="77777777" w:rsidR="007A5B1C" w:rsidRDefault="007A5B1C">
            <w:pPr>
              <w:ind w:left="0" w:hanging="2"/>
              <w:jc w:val="center"/>
            </w:pPr>
          </w:p>
          <w:p w14:paraId="7941A898" w14:textId="77777777" w:rsidR="007A5B1C" w:rsidRDefault="007A5B1C">
            <w:pPr>
              <w:pBdr>
                <w:top w:val="nil"/>
                <w:left w:val="nil"/>
                <w:bottom w:val="nil"/>
                <w:right w:val="nil"/>
                <w:between w:val="nil"/>
              </w:pBdr>
              <w:spacing w:before="100" w:after="100" w:line="240" w:lineRule="auto"/>
              <w:ind w:left="0" w:hanging="2"/>
              <w:jc w:val="both"/>
              <w:rPr>
                <w:color w:val="FF00FF"/>
                <w:sz w:val="22"/>
                <w:szCs w:val="22"/>
              </w:rPr>
            </w:pPr>
          </w:p>
        </w:tc>
      </w:tr>
      <w:tr w:rsidR="007A5B1C" w14:paraId="04E9C5C2" w14:textId="77777777">
        <w:trPr>
          <w:jc w:val="center"/>
        </w:trPr>
        <w:tc>
          <w:tcPr>
            <w:tcW w:w="10489" w:type="dxa"/>
            <w:tcBorders>
              <w:top w:val="single" w:sz="4" w:space="0" w:color="000000"/>
              <w:left w:val="nil"/>
              <w:bottom w:val="single" w:sz="4" w:space="0" w:color="000000"/>
              <w:right w:val="nil"/>
            </w:tcBorders>
          </w:tcPr>
          <w:p w14:paraId="4A0D8D12" w14:textId="77777777" w:rsidR="007A5B1C" w:rsidRDefault="007A5B1C">
            <w:pPr>
              <w:ind w:left="0" w:hanging="2"/>
              <w:jc w:val="both"/>
              <w:rPr>
                <w:color w:val="FF0000"/>
              </w:rPr>
            </w:pPr>
          </w:p>
        </w:tc>
      </w:tr>
    </w:tbl>
    <w:p w14:paraId="17544B44" w14:textId="77777777" w:rsidR="007A5B1C" w:rsidRDefault="00572BDF">
      <w:pPr>
        <w:ind w:left="0" w:hanging="2"/>
        <w:rPr>
          <w:sz w:val="22"/>
          <w:szCs w:val="22"/>
        </w:rPr>
      </w:pPr>
      <w:r>
        <w:rPr>
          <w:b/>
          <w:sz w:val="22"/>
          <w:szCs w:val="22"/>
        </w:rPr>
        <w:t xml:space="preserve">Professora: </w:t>
      </w:r>
    </w:p>
    <w:tbl>
      <w:tblPr>
        <w:tblStyle w:val="a6"/>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7A5B1C" w14:paraId="5C626F82" w14:textId="77777777">
        <w:trPr>
          <w:jc w:val="center"/>
        </w:trPr>
        <w:tc>
          <w:tcPr>
            <w:tcW w:w="10773" w:type="dxa"/>
            <w:tcBorders>
              <w:top w:val="single" w:sz="4" w:space="0" w:color="000000"/>
              <w:left w:val="nil"/>
              <w:bottom w:val="single" w:sz="4" w:space="0" w:color="000000"/>
              <w:right w:val="nil"/>
            </w:tcBorders>
          </w:tcPr>
          <w:p w14:paraId="17D8347D" w14:textId="77777777" w:rsidR="007A5B1C" w:rsidRDefault="00572BDF">
            <w:pPr>
              <w:spacing w:before="40" w:after="40"/>
              <w:ind w:left="0" w:hanging="2"/>
              <w:rPr>
                <w:sz w:val="22"/>
                <w:szCs w:val="22"/>
              </w:rPr>
            </w:pPr>
            <w:r>
              <w:rPr>
                <w:b/>
                <w:sz w:val="22"/>
                <w:szCs w:val="22"/>
              </w:rPr>
              <w:t>APROVAÇÃO PELA COORDENAÇÃO ACADÊMICA:</w:t>
            </w:r>
          </w:p>
        </w:tc>
      </w:tr>
      <w:tr w:rsidR="007A5B1C" w14:paraId="55D2DF7D" w14:textId="77777777">
        <w:trPr>
          <w:jc w:val="center"/>
        </w:trPr>
        <w:tc>
          <w:tcPr>
            <w:tcW w:w="10773" w:type="dxa"/>
            <w:tcBorders>
              <w:top w:val="single" w:sz="4" w:space="0" w:color="000000"/>
              <w:left w:val="nil"/>
              <w:bottom w:val="single" w:sz="4" w:space="0" w:color="000000"/>
              <w:right w:val="nil"/>
            </w:tcBorders>
          </w:tcPr>
          <w:p w14:paraId="475CAEBC" w14:textId="77777777" w:rsidR="007A5B1C" w:rsidRDefault="007A5B1C">
            <w:pPr>
              <w:spacing w:before="40" w:after="40"/>
              <w:ind w:left="0" w:hanging="2"/>
              <w:rPr>
                <w:sz w:val="22"/>
                <w:szCs w:val="22"/>
              </w:rPr>
            </w:pPr>
          </w:p>
          <w:p w14:paraId="49A83A56" w14:textId="77777777" w:rsidR="007A5B1C" w:rsidRDefault="00572BDF">
            <w:pPr>
              <w:spacing w:before="40" w:after="40"/>
              <w:ind w:left="0" w:hanging="2"/>
              <w:rPr>
                <w:sz w:val="22"/>
                <w:szCs w:val="22"/>
              </w:rPr>
            </w:pPr>
            <w:r>
              <w:rPr>
                <w:b/>
                <w:sz w:val="22"/>
                <w:szCs w:val="22"/>
              </w:rPr>
              <w:t>DATA:  /   /                            COORDENADORA:</w:t>
            </w:r>
          </w:p>
        </w:tc>
      </w:tr>
    </w:tbl>
    <w:p w14:paraId="15D4ADFB" w14:textId="77777777" w:rsidR="007A5B1C" w:rsidRDefault="007A5B1C">
      <w:pPr>
        <w:ind w:left="0" w:hanging="2"/>
        <w:rPr>
          <w:sz w:val="22"/>
          <w:szCs w:val="22"/>
        </w:rPr>
      </w:pPr>
    </w:p>
    <w:p w14:paraId="1B233B6B" w14:textId="77777777" w:rsidR="007A5B1C" w:rsidRDefault="007A5B1C">
      <w:pPr>
        <w:ind w:left="0" w:hanging="2"/>
        <w:rPr>
          <w:sz w:val="22"/>
          <w:szCs w:val="22"/>
        </w:rPr>
      </w:pPr>
    </w:p>
    <w:p w14:paraId="31AB4B6B" w14:textId="77777777" w:rsidR="007A5B1C" w:rsidRDefault="007A5B1C">
      <w:pPr>
        <w:ind w:left="0" w:hanging="2"/>
        <w:rPr>
          <w:sz w:val="22"/>
          <w:szCs w:val="22"/>
        </w:rPr>
      </w:pPr>
    </w:p>
    <w:sectPr w:rsidR="007A5B1C">
      <w:pgSz w:w="11907" w:h="16840"/>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371"/>
    <w:multiLevelType w:val="hybridMultilevel"/>
    <w:tmpl w:val="CC268748"/>
    <w:lvl w:ilvl="0" w:tplc="04160003">
      <w:start w:val="1"/>
      <w:numFmt w:val="bullet"/>
      <w:lvlText w:val="o"/>
      <w:lvlJc w:val="left"/>
      <w:pPr>
        <w:ind w:left="718" w:hanging="360"/>
      </w:pPr>
      <w:rPr>
        <w:rFonts w:ascii="Courier New" w:hAnsi="Courier New" w:cs="Courier New"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 w15:restartNumberingAfterBreak="0">
    <w:nsid w:val="5F0B6EE0"/>
    <w:multiLevelType w:val="multilevel"/>
    <w:tmpl w:val="AD480F0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15421376">
    <w:abstractNumId w:val="1"/>
  </w:num>
  <w:num w:numId="2" w16cid:durableId="64385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1C"/>
    <w:rsid w:val="00572BDF"/>
    <w:rsid w:val="006F405B"/>
    <w:rsid w:val="007A5B1C"/>
    <w:rsid w:val="00DC2758"/>
    <w:rsid w:val="00FD2E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934B"/>
  <w15:docId w15:val="{2A1AC043-22AB-4D13-9B6E-BE629EB8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jc w:val="center"/>
    </w:pPr>
    <w:rPr>
      <w:b/>
      <w:bCs/>
      <w:spacing w:val="20"/>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TeseBeteRefBib">
    <w:name w:val="TeseBeteRefBib"/>
    <w:basedOn w:val="Normal"/>
    <w:pPr>
      <w:spacing w:after="120"/>
      <w:ind w:left="284" w:hanging="284"/>
      <w:jc w:val="both"/>
    </w:pPr>
    <w:rPr>
      <w:rFonts w:ascii="Garamond" w:hAnsi="Garamond" w:cs="Garamond"/>
      <w:sz w:val="20"/>
      <w:szCs w:val="20"/>
    </w:rPr>
  </w:style>
  <w:style w:type="paragraph" w:styleId="Corpodetexto">
    <w:name w:val="Body Text"/>
    <w:basedOn w:val="Normal"/>
    <w:pPr>
      <w:suppressAutoHyphens w:val="0"/>
      <w:overflowPunct w:val="0"/>
      <w:autoSpaceDE w:val="0"/>
      <w:autoSpaceDN w:val="0"/>
      <w:adjustRightInd w:val="0"/>
      <w:spacing w:before="120" w:after="120"/>
      <w:jc w:val="both"/>
      <w:textAlignment w:val="baseline"/>
    </w:pPr>
    <w:rPr>
      <w:rFonts w:ascii="Arial" w:hAnsi="Arial" w:cs="Times New Roman"/>
      <w:color w:val="FF00FF"/>
      <w:sz w:val="20"/>
      <w:szCs w:val="20"/>
      <w:lang w:eastAsia="en-US"/>
    </w:rPr>
  </w:style>
  <w:style w:type="character" w:styleId="Hyperlink">
    <w:name w:val="Hyperlink"/>
    <w:rPr>
      <w:color w:val="0000FF"/>
      <w:w w:val="100"/>
      <w:position w:val="-1"/>
      <w:u w:val="single"/>
      <w:effect w:val="none"/>
      <w:vertAlign w:val="baseline"/>
      <w:cs w:val="0"/>
      <w:em w:val="none"/>
    </w:rPr>
  </w:style>
  <w:style w:type="paragraph" w:styleId="Recuodecorpodetexto">
    <w:name w:val="Body Text Indent"/>
    <w:basedOn w:val="Normal"/>
    <w:pPr>
      <w:spacing w:after="120"/>
      <w:ind w:left="283"/>
    </w:pPr>
  </w:style>
  <w:style w:type="character" w:customStyle="1" w:styleId="RecuodecorpodetextoChar">
    <w:name w:val="Recuo de corpo de texto Char"/>
    <w:rPr>
      <w:rFonts w:ascii="Arial Narrow" w:hAnsi="Arial Narrow" w:cs="Arial Narrow"/>
      <w:w w:val="100"/>
      <w:position w:val="-1"/>
      <w:sz w:val="24"/>
      <w:szCs w:val="24"/>
      <w:effect w:val="none"/>
      <w:vertAlign w:val="baseline"/>
      <w:cs w:val="0"/>
      <w:em w:val="none"/>
      <w:lang w:val="pt-BR" w:eastAsia="pt-BR" w:bidi="ar-SA"/>
    </w:rPr>
  </w:style>
  <w:style w:type="paragraph" w:styleId="Corpodetexto3">
    <w:name w:val="Body Text 3"/>
    <w:basedOn w:val="Normal"/>
    <w:pPr>
      <w:spacing w:after="120"/>
    </w:pPr>
    <w:rPr>
      <w:rFonts w:ascii="Times New Roman" w:hAnsi="Times New Roman" w:cs="Times New Roman"/>
      <w:sz w:val="16"/>
      <w:szCs w:val="16"/>
    </w:rPr>
  </w:style>
  <w:style w:type="character" w:customStyle="1" w:styleId="Corpodetexto3Char">
    <w:name w:val="Corpo de texto 3 Char"/>
    <w:rPr>
      <w:w w:val="100"/>
      <w:position w:val="-1"/>
      <w:sz w:val="16"/>
      <w:szCs w:val="16"/>
      <w:effect w:val="none"/>
      <w:vertAlign w:val="baseline"/>
      <w:cs w:val="0"/>
      <w:em w:val="none"/>
      <w:lang w:val="pt-BR" w:eastAsia="pt-BR" w:bidi="ar-SA"/>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rPr>
  </w:style>
  <w:style w:type="character" w:styleId="HiperlinkVisitado">
    <w:name w:val="FollowedHyperlink"/>
    <w:rPr>
      <w:color w:val="954F72"/>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5" w:type="dxa"/>
        <w:right w:w="85" w:type="dxa"/>
      </w:tblCellMar>
    </w:tblPr>
  </w:style>
  <w:style w:type="table" w:customStyle="1" w:styleId="a0">
    <w:basedOn w:val="TableNormal"/>
    <w:tblPr>
      <w:tblStyleRowBandSize w:val="1"/>
      <w:tblStyleColBandSize w:val="1"/>
      <w:tblCellMar>
        <w:left w:w="85" w:type="dxa"/>
        <w:right w:w="85" w:type="dxa"/>
      </w:tblCellMar>
    </w:tblPr>
  </w:style>
  <w:style w:type="table" w:customStyle="1" w:styleId="a1">
    <w:basedOn w:val="TableNormal"/>
    <w:tblPr>
      <w:tblStyleRowBandSize w:val="1"/>
      <w:tblStyleColBandSize w:val="1"/>
      <w:tblCellMar>
        <w:left w:w="85" w:type="dxa"/>
        <w:right w:w="85" w:type="dxa"/>
      </w:tblCellMar>
    </w:tblPr>
  </w:style>
  <w:style w:type="table" w:customStyle="1" w:styleId="a2">
    <w:basedOn w:val="TableNormal"/>
    <w:tblPr>
      <w:tblStyleRowBandSize w:val="1"/>
      <w:tblStyleColBandSize w:val="1"/>
      <w:tblCellMar>
        <w:left w:w="85" w:type="dxa"/>
        <w:right w:w="85" w:type="dxa"/>
      </w:tblCellMar>
    </w:tblPr>
  </w:style>
  <w:style w:type="table" w:customStyle="1" w:styleId="a3">
    <w:basedOn w:val="TableNormal"/>
    <w:tblPr>
      <w:tblStyleRowBandSize w:val="1"/>
      <w:tblStyleColBandSize w:val="1"/>
      <w:tblCellMar>
        <w:left w:w="85" w:type="dxa"/>
        <w:right w:w="8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85" w:type="dxa"/>
        <w:right w:w="85" w:type="dxa"/>
      </w:tblCellMar>
    </w:tblPr>
  </w:style>
  <w:style w:type="table" w:customStyle="1" w:styleId="a6">
    <w:basedOn w:val="TableNormal"/>
    <w:tblPr>
      <w:tblStyleRowBandSize w:val="1"/>
      <w:tblStyleColBandSize w:val="1"/>
      <w:tblCellMar>
        <w:left w:w="85" w:type="dxa"/>
        <w:right w:w="85" w:type="dxa"/>
      </w:tblCellMar>
    </w:tblPr>
  </w:style>
  <w:style w:type="paragraph" w:styleId="PargrafodaLista">
    <w:name w:val="List Paragraph"/>
    <w:basedOn w:val="Normal"/>
    <w:uiPriority w:val="34"/>
    <w:qFormat/>
    <w:rsid w:val="0057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ess.org.br/arquivos/legislacao_diretriz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fess.org.br/arquivos/legislacao_diretrizes.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bnt.org.br" TargetMode="External"/><Relationship Id="rId5" Type="http://schemas.openxmlformats.org/officeDocument/2006/relationships/webSettings" Target="webSettings.xml"/><Relationship Id="rId10" Type="http://schemas.openxmlformats.org/officeDocument/2006/relationships/hyperlink" Target="http://www.abnt.org.br" TargetMode="External"/><Relationship Id="rId4" Type="http://schemas.openxmlformats.org/officeDocument/2006/relationships/settings" Target="settings.xml"/><Relationship Id="rId9" Type="http://schemas.openxmlformats.org/officeDocument/2006/relationships/hyperlink" Target="http://www.cfess.org.br/arquivos/legislacao_diretriz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8MH4W1qmLjK4z7cVEzdFVdGPbw==">AMUW2mVCTFjOQkrMQy/ehhXcd9BRIwcJvogVnaKRM1x/6Z7Si2dYq9C4RNOwG4Y/BLWHi/7y3HLaBMIsc2UT273qKCGP9AX/qQuF9Z5dkx+CMQhN8oHYlc8NcztebebfIjNtAz7TUjEs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1690</Words>
  <Characters>9128</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Maiana Santos de Araujo</cp:lastModifiedBy>
  <cp:revision>7</cp:revision>
  <dcterms:created xsi:type="dcterms:W3CDTF">2020-10-02T14:40:00Z</dcterms:created>
  <dcterms:modified xsi:type="dcterms:W3CDTF">2023-03-14T12:28:00Z</dcterms:modified>
</cp:coreProperties>
</file>